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97A9C">
      <w:pPr>
        <w:keepNext w:val="0"/>
        <w:keepLines w:val="0"/>
        <w:pageBreakBefore w:val="0"/>
        <w:kinsoku/>
        <w:overflowPunct/>
        <w:topLinePunct w:val="0"/>
        <w:autoSpaceDE/>
        <w:autoSpaceDN/>
        <w:bidi w:val="0"/>
        <w:spacing w:line="560" w:lineRule="exact"/>
        <w:rPr>
          <w:rFonts w:hint="eastAsia" w:ascii="TimesNewRoman" w:hAnsi="TimesNewRoman" w:eastAsia="黑体" w:cs="TimesNewRoman"/>
          <w:szCs w:val="32"/>
          <w:lang w:val="en-US" w:eastAsia="zh-CN"/>
        </w:rPr>
      </w:pPr>
    </w:p>
    <w:p w14:paraId="2300587A">
      <w:pPr>
        <w:keepNext w:val="0"/>
        <w:keepLines w:val="0"/>
        <w:pageBreakBefore w:val="0"/>
        <w:kinsoku/>
        <w:overflowPunct/>
        <w:topLinePunct w:val="0"/>
        <w:autoSpaceDE/>
        <w:autoSpaceDN/>
        <w:bidi w:val="0"/>
        <w:spacing w:line="560" w:lineRule="exact"/>
        <w:rPr>
          <w:rFonts w:hint="eastAsia" w:ascii="TimesNewRoman" w:hAnsi="TimesNewRoman" w:eastAsia="黑体" w:cs="TimesNewRoman"/>
          <w:szCs w:val="32"/>
          <w:lang w:val="en-US" w:eastAsia="zh-CN"/>
        </w:rPr>
      </w:pPr>
    </w:p>
    <w:p w14:paraId="7EEEFF1C">
      <w:pPr>
        <w:keepNext w:val="0"/>
        <w:keepLines w:val="0"/>
        <w:pageBreakBefore w:val="0"/>
        <w:kinsoku/>
        <w:overflowPunct/>
        <w:topLinePunct w:val="0"/>
        <w:autoSpaceDE/>
        <w:autoSpaceDN/>
        <w:bidi w:val="0"/>
        <w:spacing w:line="560" w:lineRule="exact"/>
        <w:ind w:firstLine="452" w:firstLineChars="100"/>
        <w:jc w:val="center"/>
        <w:rPr>
          <w:rFonts w:hint="default" w:ascii="TimesNewRoman" w:hAnsi="TimesNewRoman" w:eastAsia="华文中宋" w:cs="TimesNewRoman"/>
          <w:b/>
          <w:sz w:val="44"/>
          <w:szCs w:val="44"/>
        </w:rPr>
      </w:pPr>
      <w:r>
        <w:rPr>
          <w:rFonts w:hint="eastAsia" w:ascii="TimesNewRoman" w:hAnsi="TimesNewRoman" w:eastAsia="华文中宋" w:cs="TimesNewRoman"/>
          <w:b/>
          <w:sz w:val="44"/>
          <w:szCs w:val="44"/>
          <w:lang w:val="en-US" w:eastAsia="zh-CN"/>
        </w:rPr>
        <w:t xml:space="preserve">黄山市人大预算联网监督中心      </w:t>
      </w:r>
      <w:r>
        <w:rPr>
          <w:rFonts w:hint="default" w:ascii="TimesNewRoman" w:hAnsi="TimesNewRoman" w:eastAsia="华文中宋" w:cs="TimesNewRoman"/>
          <w:b/>
          <w:sz w:val="44"/>
          <w:szCs w:val="44"/>
        </w:rPr>
        <w:t>202</w:t>
      </w:r>
      <w:r>
        <w:rPr>
          <w:rFonts w:hint="eastAsia" w:ascii="TimesNewRoman" w:hAnsi="TimesNewRoman" w:eastAsia="华文中宋" w:cs="TimesNewRoman"/>
          <w:b/>
          <w:sz w:val="44"/>
          <w:szCs w:val="44"/>
          <w:lang w:val="en-US" w:eastAsia="zh-CN"/>
        </w:rPr>
        <w:t>4</w:t>
      </w:r>
      <w:r>
        <w:rPr>
          <w:rFonts w:hint="default" w:ascii="TimesNewRoman" w:hAnsi="TimesNewRoman" w:eastAsia="华文中宋" w:cs="TimesNewRoman"/>
          <w:b/>
          <w:sz w:val="44"/>
          <w:szCs w:val="44"/>
        </w:rPr>
        <w:t>年</w:t>
      </w:r>
      <w:r>
        <w:rPr>
          <w:rFonts w:hint="eastAsia" w:ascii="TimesNewRoman" w:hAnsi="TimesNewRoman" w:eastAsia="华文中宋" w:cs="TimesNewRoman"/>
          <w:b/>
          <w:sz w:val="44"/>
          <w:szCs w:val="44"/>
          <w:lang w:val="en-US" w:eastAsia="zh-CN"/>
        </w:rPr>
        <w:t>单位</w:t>
      </w:r>
      <w:r>
        <w:rPr>
          <w:rFonts w:hint="default" w:ascii="TimesNewRoman" w:hAnsi="TimesNewRoman" w:eastAsia="华文中宋" w:cs="TimesNewRoman"/>
          <w:b/>
          <w:sz w:val="44"/>
          <w:szCs w:val="44"/>
        </w:rPr>
        <w:t>预算</w:t>
      </w:r>
    </w:p>
    <w:p w14:paraId="2B18047B">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1AB0E0E1">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53E7044E">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5DC18AC9">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0C849806">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49DF2444">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049498C5">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bookmarkStart w:id="0" w:name="_GoBack"/>
      <w:bookmarkEnd w:id="0"/>
    </w:p>
    <w:p w14:paraId="657A1BD4">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6904D7AD">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7274E47E">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163D00B9">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51F39CDE">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704638D6">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73EFC38D">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0C17FF5C">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4115B04B">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57FD8FBD">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684DDEF8">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pPr>
    </w:p>
    <w:p w14:paraId="2DB00EB7">
      <w:pPr>
        <w:pStyle w:val="7"/>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2"/>
          <w:szCs w:val="32"/>
        </w:rPr>
        <w:sectPr>
          <w:footerReference r:id="rId3" w:type="default"/>
          <w:footerReference r:id="rId4" w:type="even"/>
          <w:pgSz w:w="11906" w:h="16838"/>
          <w:pgMar w:top="1440" w:right="1797" w:bottom="1440" w:left="1797" w:header="850" w:footer="992" w:gutter="0"/>
          <w:pgBorders>
            <w:top w:val="none" w:sz="0" w:space="0"/>
            <w:left w:val="none" w:sz="0" w:space="0"/>
            <w:bottom w:val="none" w:sz="0" w:space="0"/>
            <w:right w:val="none" w:sz="0" w:space="0"/>
          </w:pgBorders>
          <w:pgNumType w:fmt="decimal" w:start="1"/>
          <w:cols w:space="720" w:num="1"/>
          <w:rtlGutter w:val="0"/>
          <w:docGrid w:type="linesAndChars" w:linePitch="437" w:charSpace="2555"/>
        </w:sectPr>
      </w:pPr>
      <w:r>
        <w:rPr>
          <w:rFonts w:hint="default" w:ascii="TimesNewRoman" w:hAnsi="TimesNewRoman" w:eastAsia="方正楷体_GBK" w:cs="TimesNewRoman"/>
          <w:bCs/>
          <w:sz w:val="40"/>
          <w:szCs w:val="40"/>
        </w:rPr>
        <w:t>202</w:t>
      </w:r>
      <w:r>
        <w:rPr>
          <w:rFonts w:hint="default" w:ascii="TimesNewRoman" w:hAnsi="TimesNewRoman" w:eastAsia="方正楷体_GBK" w:cs="TimesNewRoman"/>
          <w:bCs/>
          <w:sz w:val="40"/>
          <w:szCs w:val="40"/>
          <w:lang w:val="en-US" w:eastAsia="zh-CN"/>
        </w:rPr>
        <w:t>4</w:t>
      </w:r>
      <w:r>
        <w:rPr>
          <w:rFonts w:hint="default" w:ascii="TimesNewRoman" w:hAnsi="TimesNewRoman" w:eastAsia="方正楷体_GBK" w:cs="TimesNewRoman"/>
          <w:bCs/>
          <w:sz w:val="40"/>
          <w:szCs w:val="40"/>
        </w:rPr>
        <w:t>年</w:t>
      </w:r>
      <w:r>
        <w:rPr>
          <w:rFonts w:hint="eastAsia" w:ascii="TimesNewRoman" w:hAnsi="TimesNewRoman" w:eastAsia="方正楷体_GBK" w:cs="TimesNewRoman"/>
          <w:bCs/>
          <w:sz w:val="40"/>
          <w:szCs w:val="40"/>
          <w:lang w:val="en-US" w:eastAsia="zh-CN"/>
        </w:rPr>
        <w:t>2</w:t>
      </w:r>
      <w:r>
        <w:rPr>
          <w:rFonts w:hint="default" w:ascii="TimesNewRoman" w:hAnsi="TimesNewRoman" w:eastAsia="方正楷体_GBK" w:cs="TimesNewRoman"/>
          <w:bCs/>
          <w:sz w:val="40"/>
          <w:szCs w:val="40"/>
        </w:rPr>
        <w:t>月</w:t>
      </w:r>
    </w:p>
    <w:p w14:paraId="5A35425C">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4399EB28">
      <w:pPr>
        <w:pStyle w:val="7"/>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NewRoman" w:hAnsi="TimesNewRoman" w:eastAsia="黑体" w:cs="TimesNewRoman"/>
          <w:bCs/>
          <w:sz w:val="44"/>
          <w:szCs w:val="44"/>
        </w:rPr>
      </w:pPr>
      <w:r>
        <w:rPr>
          <w:rFonts w:hint="default" w:ascii="TimesNewRoman" w:hAnsi="TimesNewRoman" w:eastAsia="黑体" w:cs="TimesNewRoman"/>
          <w:bCs/>
          <w:sz w:val="44"/>
          <w:szCs w:val="44"/>
        </w:rPr>
        <w:t xml:space="preserve">目 </w:t>
      </w:r>
      <w:r>
        <w:rPr>
          <w:rFonts w:hint="eastAsia" w:ascii="TimesNewRoman" w:hAnsi="TimesNewRoman" w:eastAsia="黑体" w:cs="TimesNewRoman"/>
          <w:bCs/>
          <w:sz w:val="44"/>
          <w:szCs w:val="44"/>
          <w:lang w:val="en-US" w:eastAsia="zh-CN"/>
        </w:rPr>
        <w:t xml:space="preserve"> </w:t>
      </w:r>
      <w:r>
        <w:rPr>
          <w:rFonts w:hint="default" w:ascii="TimesNewRoman" w:hAnsi="TimesNewRoman" w:eastAsia="黑体" w:cs="TimesNewRoman"/>
          <w:bCs/>
          <w:sz w:val="44"/>
          <w:szCs w:val="44"/>
        </w:rPr>
        <w:t>录</w:t>
      </w:r>
    </w:p>
    <w:p w14:paraId="1A13880F">
      <w:pPr>
        <w:pStyle w:val="7"/>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黑体_GBK" w:hAnsi="方正黑体_GBK" w:eastAsia="方正黑体_GBK" w:cs="方正黑体_GBK"/>
          <w:b w:val="0"/>
          <w:bCs/>
          <w:sz w:val="32"/>
          <w:szCs w:val="32"/>
        </w:rPr>
      </w:pPr>
    </w:p>
    <w:p w14:paraId="5E1C5C7E">
      <w:pPr>
        <w:pStyle w:val="7"/>
        <w:widowControl/>
        <w:spacing w:before="150" w:beforeAutospacing="0" w:after="0" w:afterAutospacing="0" w:line="560" w:lineRule="exact"/>
        <w:ind w:firstLine="664" w:firstLineChars="200"/>
        <w:jc w:val="left"/>
        <w:rPr>
          <w:rStyle w:val="11"/>
          <w:rFonts w:hint="eastAsia" w:ascii="仿宋_GB2312" w:hAnsi="Times New Roman" w:eastAsia="仿宋_GB2312" w:cs="Times New Roman"/>
          <w:bCs w:val="0"/>
          <w:kern w:val="0"/>
          <w:sz w:val="32"/>
          <w:szCs w:val="32"/>
          <w:shd w:val="clear" w:color="auto" w:fill="FFFFFF"/>
        </w:rPr>
      </w:pPr>
      <w:r>
        <w:rPr>
          <w:rStyle w:val="11"/>
          <w:rFonts w:hint="eastAsia" w:ascii="仿宋_GB2312" w:hAnsi="Times New Roman" w:eastAsia="仿宋_GB2312" w:cs="Times New Roman"/>
          <w:bCs w:val="0"/>
          <w:kern w:val="0"/>
          <w:sz w:val="32"/>
          <w:szCs w:val="32"/>
          <w:shd w:val="clear" w:color="auto" w:fill="FFFFFF"/>
        </w:rPr>
        <w:t xml:space="preserve">第一部分 </w:t>
      </w:r>
      <w:r>
        <w:rPr>
          <w:rStyle w:val="11"/>
          <w:rFonts w:hint="eastAsia" w:ascii="仿宋_GB2312" w:hAnsi="Times New Roman" w:eastAsia="仿宋_GB2312" w:cs="Times New Roman"/>
          <w:bCs w:val="0"/>
          <w:kern w:val="0"/>
          <w:sz w:val="32"/>
          <w:szCs w:val="32"/>
          <w:shd w:val="clear" w:color="auto" w:fill="FFFFFF"/>
          <w:lang w:val="en-US" w:eastAsia="zh-CN"/>
        </w:rPr>
        <w:t>单位</w:t>
      </w:r>
      <w:r>
        <w:rPr>
          <w:rStyle w:val="11"/>
          <w:rFonts w:hint="eastAsia" w:ascii="仿宋_GB2312" w:hAnsi="Times New Roman" w:eastAsia="仿宋_GB2312" w:cs="Times New Roman"/>
          <w:bCs w:val="0"/>
          <w:kern w:val="0"/>
          <w:sz w:val="32"/>
          <w:szCs w:val="32"/>
          <w:shd w:val="clear" w:color="auto" w:fill="FFFFFF"/>
        </w:rPr>
        <w:t>概况</w:t>
      </w:r>
    </w:p>
    <w:p w14:paraId="563A55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default" w:ascii="仿宋_GB2312" w:hAnsi="仿宋" w:eastAsia="仿宋_GB2312" w:cs="仿宋"/>
          <w:bCs/>
          <w:kern w:val="0"/>
          <w:sz w:val="32"/>
          <w:szCs w:val="32"/>
        </w:rPr>
        <w:t>1.主要职责</w:t>
      </w:r>
    </w:p>
    <w:p w14:paraId="2274289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default" w:ascii="仿宋_GB2312" w:hAnsi="仿宋" w:eastAsia="仿宋_GB2312" w:cs="仿宋"/>
          <w:bCs/>
          <w:kern w:val="0"/>
          <w:sz w:val="32"/>
          <w:szCs w:val="32"/>
        </w:rPr>
        <w:t>2.</w:t>
      </w:r>
      <w:r>
        <w:rPr>
          <w:rFonts w:hint="eastAsia" w:ascii="仿宋_GB2312" w:hAnsi="仿宋" w:eastAsia="仿宋_GB2312" w:cs="仿宋"/>
          <w:bCs/>
          <w:kern w:val="0"/>
          <w:sz w:val="32"/>
          <w:szCs w:val="32"/>
          <w:lang w:eastAsia="zh-CN"/>
        </w:rPr>
        <w:t>单位</w:t>
      </w:r>
      <w:r>
        <w:rPr>
          <w:rFonts w:hint="default" w:ascii="仿宋_GB2312" w:hAnsi="仿宋" w:eastAsia="仿宋_GB2312" w:cs="仿宋"/>
          <w:bCs/>
          <w:kern w:val="0"/>
          <w:sz w:val="32"/>
          <w:szCs w:val="32"/>
        </w:rPr>
        <w:t>预算构成</w:t>
      </w:r>
    </w:p>
    <w:p w14:paraId="4197A0A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default" w:ascii="仿宋_GB2312" w:hAnsi="仿宋" w:eastAsia="仿宋_GB2312" w:cs="仿宋"/>
          <w:bCs/>
          <w:kern w:val="0"/>
          <w:sz w:val="32"/>
          <w:szCs w:val="32"/>
        </w:rPr>
        <w:t>3.202</w:t>
      </w:r>
      <w:r>
        <w:rPr>
          <w:rFonts w:hint="eastAsia" w:ascii="仿宋_GB2312" w:hAnsi="仿宋" w:eastAsia="仿宋_GB2312" w:cs="仿宋"/>
          <w:bCs/>
          <w:kern w:val="0"/>
          <w:sz w:val="32"/>
          <w:szCs w:val="32"/>
          <w:lang w:val="en-US" w:eastAsia="zh-CN"/>
        </w:rPr>
        <w:t>4</w:t>
      </w:r>
      <w:r>
        <w:rPr>
          <w:rFonts w:hint="default" w:ascii="仿宋_GB2312" w:hAnsi="仿宋" w:eastAsia="仿宋_GB2312" w:cs="仿宋"/>
          <w:bCs/>
          <w:kern w:val="0"/>
          <w:sz w:val="32"/>
          <w:szCs w:val="32"/>
        </w:rPr>
        <w:t>年度主要工作任务</w:t>
      </w:r>
    </w:p>
    <w:p w14:paraId="074E73E0">
      <w:pPr>
        <w:pStyle w:val="7"/>
        <w:widowControl/>
        <w:spacing w:before="150" w:beforeAutospacing="0" w:after="0" w:afterAutospacing="0" w:line="560" w:lineRule="exact"/>
        <w:ind w:firstLine="664" w:firstLineChars="200"/>
        <w:jc w:val="left"/>
        <w:rPr>
          <w:rStyle w:val="11"/>
          <w:rFonts w:hint="default" w:ascii="仿宋_GB2312" w:hAnsi="Times New Roman" w:eastAsia="仿宋_GB2312" w:cs="Times New Roman"/>
          <w:bCs w:val="0"/>
          <w:kern w:val="0"/>
          <w:sz w:val="32"/>
          <w:szCs w:val="32"/>
          <w:shd w:val="clear" w:color="auto" w:fill="FFFFFF"/>
        </w:rPr>
      </w:pPr>
      <w:r>
        <w:rPr>
          <w:rStyle w:val="11"/>
          <w:rFonts w:hint="default" w:ascii="仿宋_GB2312" w:hAnsi="Times New Roman" w:eastAsia="仿宋_GB2312" w:cs="Times New Roman"/>
          <w:bCs w:val="0"/>
          <w:kern w:val="0"/>
          <w:sz w:val="32"/>
          <w:szCs w:val="32"/>
          <w:shd w:val="clear" w:color="auto" w:fill="FFFFFF"/>
        </w:rPr>
        <w:t>第二部分 202</w:t>
      </w:r>
      <w:r>
        <w:rPr>
          <w:rStyle w:val="11"/>
          <w:rFonts w:hint="default" w:ascii="仿宋_GB2312" w:hAnsi="Times New Roman" w:eastAsia="仿宋_GB2312" w:cs="Times New Roman"/>
          <w:bCs w:val="0"/>
          <w:kern w:val="0"/>
          <w:sz w:val="32"/>
          <w:szCs w:val="32"/>
          <w:shd w:val="clear" w:color="auto" w:fill="FFFFFF"/>
          <w:lang w:val="en-US" w:eastAsia="zh-CN"/>
        </w:rPr>
        <w:t>4</w:t>
      </w:r>
      <w:r>
        <w:rPr>
          <w:rStyle w:val="11"/>
          <w:rFonts w:hint="default" w:ascii="仿宋_GB2312" w:hAnsi="Times New Roman" w:eastAsia="仿宋_GB2312" w:cs="Times New Roman"/>
          <w:bCs w:val="0"/>
          <w:kern w:val="0"/>
          <w:sz w:val="32"/>
          <w:szCs w:val="32"/>
          <w:shd w:val="clear" w:color="auto" w:fill="FFFFFF"/>
        </w:rPr>
        <w:t>年</w:t>
      </w:r>
      <w:r>
        <w:rPr>
          <w:rStyle w:val="11"/>
          <w:rFonts w:hint="eastAsia" w:ascii="仿宋_GB2312" w:hAnsi="Times New Roman" w:eastAsia="仿宋_GB2312" w:cs="Times New Roman"/>
          <w:bCs w:val="0"/>
          <w:kern w:val="0"/>
          <w:sz w:val="32"/>
          <w:szCs w:val="32"/>
          <w:shd w:val="clear" w:color="auto" w:fill="FFFFFF"/>
          <w:lang w:eastAsia="zh-CN"/>
        </w:rPr>
        <w:t>单位</w:t>
      </w:r>
      <w:r>
        <w:rPr>
          <w:rStyle w:val="11"/>
          <w:rFonts w:hint="default" w:ascii="仿宋_GB2312" w:hAnsi="Times New Roman" w:eastAsia="仿宋_GB2312" w:cs="Times New Roman"/>
          <w:bCs w:val="0"/>
          <w:kern w:val="0"/>
          <w:sz w:val="32"/>
          <w:szCs w:val="32"/>
          <w:shd w:val="clear" w:color="auto" w:fill="FFFFFF"/>
        </w:rPr>
        <w:t>预算表</w:t>
      </w:r>
    </w:p>
    <w:p w14:paraId="267C2BD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default" w:ascii="仿宋_GB2312" w:hAnsi="仿宋" w:eastAsia="仿宋_GB2312" w:cs="仿宋"/>
          <w:bCs/>
          <w:kern w:val="0"/>
          <w:sz w:val="32"/>
          <w:szCs w:val="32"/>
        </w:rPr>
        <w:t>1.</w:t>
      </w:r>
      <w:r>
        <w:rPr>
          <w:rFonts w:hint="eastAsia" w:ascii="仿宋_GB2312" w:hAnsi="仿宋" w:eastAsia="仿宋_GB2312" w:cs="仿宋"/>
          <w:bCs/>
          <w:kern w:val="0"/>
          <w:sz w:val="32"/>
          <w:szCs w:val="32"/>
          <w:lang w:val="en-US" w:eastAsia="zh-CN"/>
        </w:rPr>
        <w:t>黄山市人大预算联网监督中心</w:t>
      </w:r>
      <w:r>
        <w:rPr>
          <w:rFonts w:hint="default" w:ascii="仿宋_GB2312" w:hAnsi="仿宋" w:eastAsia="仿宋_GB2312" w:cs="仿宋"/>
          <w:bCs/>
          <w:kern w:val="0"/>
          <w:sz w:val="32"/>
          <w:szCs w:val="32"/>
        </w:rPr>
        <w:t>202</w:t>
      </w:r>
      <w:r>
        <w:rPr>
          <w:rFonts w:hint="eastAsia" w:ascii="仿宋_GB2312" w:hAnsi="仿宋" w:eastAsia="仿宋_GB2312" w:cs="仿宋"/>
          <w:bCs/>
          <w:kern w:val="0"/>
          <w:sz w:val="32"/>
          <w:szCs w:val="32"/>
          <w:lang w:val="en-US" w:eastAsia="zh-CN"/>
        </w:rPr>
        <w:t>4</w:t>
      </w:r>
      <w:r>
        <w:rPr>
          <w:rFonts w:hint="default" w:ascii="仿宋_GB2312" w:hAnsi="仿宋" w:eastAsia="仿宋_GB2312" w:cs="仿宋"/>
          <w:bCs/>
          <w:kern w:val="0"/>
          <w:sz w:val="32"/>
          <w:szCs w:val="32"/>
        </w:rPr>
        <w:t>年收支</w:t>
      </w:r>
      <w:r>
        <w:rPr>
          <w:rFonts w:hint="eastAsia" w:ascii="仿宋_GB2312" w:hAnsi="仿宋" w:eastAsia="仿宋_GB2312" w:cs="仿宋"/>
          <w:bCs/>
          <w:kern w:val="0"/>
          <w:sz w:val="32"/>
          <w:szCs w:val="32"/>
          <w:lang w:eastAsia="zh-CN"/>
        </w:rPr>
        <w:t>预算</w:t>
      </w:r>
      <w:r>
        <w:rPr>
          <w:rFonts w:hint="default" w:ascii="仿宋_GB2312" w:hAnsi="仿宋" w:eastAsia="仿宋_GB2312" w:cs="仿宋"/>
          <w:bCs/>
          <w:kern w:val="0"/>
          <w:sz w:val="32"/>
          <w:szCs w:val="32"/>
        </w:rPr>
        <w:t>总表</w:t>
      </w:r>
    </w:p>
    <w:p w14:paraId="37F4F09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default" w:ascii="仿宋_GB2312" w:hAnsi="仿宋" w:eastAsia="仿宋_GB2312" w:cs="仿宋"/>
          <w:bCs/>
          <w:kern w:val="0"/>
          <w:sz w:val="32"/>
          <w:szCs w:val="32"/>
        </w:rPr>
        <w:t>2.</w:t>
      </w:r>
      <w:r>
        <w:rPr>
          <w:rFonts w:hint="eastAsia" w:ascii="仿宋_GB2312" w:hAnsi="仿宋" w:eastAsia="仿宋_GB2312" w:cs="仿宋"/>
          <w:bCs/>
          <w:kern w:val="0"/>
          <w:sz w:val="32"/>
          <w:szCs w:val="32"/>
          <w:lang w:val="en-US" w:eastAsia="zh-CN"/>
        </w:rPr>
        <w:t>黄山市人大预算联网监督中心</w:t>
      </w:r>
      <w:r>
        <w:rPr>
          <w:rFonts w:hint="default" w:ascii="仿宋_GB2312" w:hAnsi="仿宋" w:eastAsia="仿宋_GB2312" w:cs="仿宋"/>
          <w:bCs/>
          <w:kern w:val="0"/>
          <w:sz w:val="32"/>
          <w:szCs w:val="32"/>
          <w:lang w:val="en"/>
        </w:rPr>
        <w:t>2024</w:t>
      </w:r>
      <w:r>
        <w:rPr>
          <w:rFonts w:hint="default" w:ascii="仿宋_GB2312" w:hAnsi="仿宋" w:eastAsia="仿宋_GB2312" w:cs="仿宋"/>
          <w:bCs/>
          <w:kern w:val="0"/>
          <w:sz w:val="32"/>
          <w:szCs w:val="32"/>
        </w:rPr>
        <w:t>年收入</w:t>
      </w:r>
      <w:r>
        <w:rPr>
          <w:rFonts w:hint="eastAsia" w:ascii="仿宋_GB2312" w:hAnsi="仿宋" w:eastAsia="仿宋_GB2312" w:cs="仿宋"/>
          <w:bCs/>
          <w:kern w:val="0"/>
          <w:sz w:val="32"/>
          <w:szCs w:val="32"/>
          <w:lang w:eastAsia="zh-CN"/>
        </w:rPr>
        <w:t>预算</w:t>
      </w:r>
      <w:r>
        <w:rPr>
          <w:rFonts w:hint="default" w:ascii="仿宋_GB2312" w:hAnsi="仿宋" w:eastAsia="仿宋_GB2312" w:cs="仿宋"/>
          <w:bCs/>
          <w:kern w:val="0"/>
          <w:sz w:val="32"/>
          <w:szCs w:val="32"/>
        </w:rPr>
        <w:t>总表</w:t>
      </w:r>
    </w:p>
    <w:p w14:paraId="11B5E6D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default" w:ascii="仿宋_GB2312" w:hAnsi="仿宋" w:eastAsia="仿宋_GB2312" w:cs="仿宋"/>
          <w:bCs/>
          <w:kern w:val="0"/>
          <w:sz w:val="32"/>
          <w:szCs w:val="32"/>
        </w:rPr>
        <w:t>3.</w:t>
      </w:r>
      <w:r>
        <w:rPr>
          <w:rFonts w:hint="eastAsia" w:ascii="仿宋_GB2312" w:hAnsi="仿宋" w:eastAsia="仿宋_GB2312" w:cs="仿宋"/>
          <w:bCs/>
          <w:kern w:val="0"/>
          <w:sz w:val="32"/>
          <w:szCs w:val="32"/>
          <w:lang w:val="en-US" w:eastAsia="zh-CN"/>
        </w:rPr>
        <w:t>黄山市人大预算联网监督中心</w:t>
      </w:r>
      <w:r>
        <w:rPr>
          <w:rFonts w:hint="default" w:ascii="仿宋_GB2312" w:hAnsi="仿宋" w:eastAsia="仿宋_GB2312" w:cs="仿宋"/>
          <w:bCs/>
          <w:kern w:val="0"/>
          <w:sz w:val="32"/>
          <w:szCs w:val="32"/>
          <w:lang w:val="en"/>
        </w:rPr>
        <w:t>2024</w:t>
      </w:r>
      <w:r>
        <w:rPr>
          <w:rFonts w:hint="default" w:ascii="仿宋_GB2312" w:hAnsi="仿宋" w:eastAsia="仿宋_GB2312" w:cs="仿宋"/>
          <w:bCs/>
          <w:kern w:val="0"/>
          <w:sz w:val="32"/>
          <w:szCs w:val="32"/>
        </w:rPr>
        <w:t>年支出</w:t>
      </w:r>
      <w:r>
        <w:rPr>
          <w:rFonts w:hint="eastAsia" w:ascii="仿宋_GB2312" w:hAnsi="仿宋" w:eastAsia="仿宋_GB2312" w:cs="仿宋"/>
          <w:bCs/>
          <w:kern w:val="0"/>
          <w:sz w:val="32"/>
          <w:szCs w:val="32"/>
          <w:lang w:eastAsia="zh-CN"/>
        </w:rPr>
        <w:t>预算</w:t>
      </w:r>
      <w:r>
        <w:rPr>
          <w:rFonts w:hint="default" w:ascii="仿宋_GB2312" w:hAnsi="仿宋" w:eastAsia="仿宋_GB2312" w:cs="仿宋"/>
          <w:bCs/>
          <w:kern w:val="0"/>
          <w:sz w:val="32"/>
          <w:szCs w:val="32"/>
        </w:rPr>
        <w:t>总表</w:t>
      </w:r>
    </w:p>
    <w:p w14:paraId="3B38085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default" w:ascii="仿宋_GB2312" w:hAnsi="仿宋" w:eastAsia="仿宋_GB2312" w:cs="仿宋"/>
          <w:bCs/>
          <w:kern w:val="0"/>
          <w:sz w:val="32"/>
          <w:szCs w:val="32"/>
        </w:rPr>
        <w:t>4.</w:t>
      </w:r>
      <w:r>
        <w:rPr>
          <w:rFonts w:hint="eastAsia" w:ascii="仿宋_GB2312" w:hAnsi="仿宋" w:eastAsia="仿宋_GB2312" w:cs="仿宋"/>
          <w:bCs/>
          <w:kern w:val="0"/>
          <w:sz w:val="32"/>
          <w:szCs w:val="32"/>
          <w:lang w:val="en-US" w:eastAsia="zh-CN"/>
        </w:rPr>
        <w:t>黄山市人大预算联网监督中心</w:t>
      </w:r>
      <w:r>
        <w:rPr>
          <w:rFonts w:hint="default" w:ascii="仿宋_GB2312" w:hAnsi="仿宋" w:eastAsia="仿宋_GB2312" w:cs="仿宋"/>
          <w:bCs/>
          <w:kern w:val="0"/>
          <w:sz w:val="32"/>
          <w:szCs w:val="32"/>
          <w:lang w:val="en"/>
        </w:rPr>
        <w:t>2024</w:t>
      </w:r>
      <w:r>
        <w:rPr>
          <w:rFonts w:hint="default" w:ascii="仿宋_GB2312" w:hAnsi="仿宋" w:eastAsia="仿宋_GB2312" w:cs="仿宋"/>
          <w:bCs/>
          <w:kern w:val="0"/>
          <w:sz w:val="32"/>
          <w:szCs w:val="32"/>
        </w:rPr>
        <w:t>年财政拨款收支</w:t>
      </w:r>
      <w:r>
        <w:rPr>
          <w:rFonts w:hint="eastAsia" w:ascii="仿宋_GB2312" w:hAnsi="仿宋" w:eastAsia="仿宋_GB2312" w:cs="仿宋"/>
          <w:bCs/>
          <w:kern w:val="0"/>
          <w:sz w:val="32"/>
          <w:szCs w:val="32"/>
          <w:lang w:eastAsia="zh-CN"/>
        </w:rPr>
        <w:t>预算</w:t>
      </w:r>
      <w:r>
        <w:rPr>
          <w:rFonts w:hint="default" w:ascii="仿宋_GB2312" w:hAnsi="仿宋" w:eastAsia="仿宋_GB2312" w:cs="仿宋"/>
          <w:bCs/>
          <w:kern w:val="0"/>
          <w:sz w:val="32"/>
          <w:szCs w:val="32"/>
        </w:rPr>
        <w:t>总表</w:t>
      </w:r>
    </w:p>
    <w:p w14:paraId="62AC749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default" w:ascii="仿宋_GB2312" w:hAnsi="仿宋" w:eastAsia="仿宋_GB2312" w:cs="仿宋"/>
          <w:bCs/>
          <w:kern w:val="0"/>
          <w:sz w:val="32"/>
          <w:szCs w:val="32"/>
        </w:rPr>
        <w:t>5.</w:t>
      </w:r>
      <w:r>
        <w:rPr>
          <w:rFonts w:hint="eastAsia" w:ascii="仿宋_GB2312" w:hAnsi="仿宋" w:eastAsia="仿宋_GB2312" w:cs="仿宋"/>
          <w:bCs/>
          <w:kern w:val="0"/>
          <w:sz w:val="32"/>
          <w:szCs w:val="32"/>
          <w:lang w:val="en-US" w:eastAsia="zh-CN"/>
        </w:rPr>
        <w:t>黄山市人大预算联网监督中心</w:t>
      </w:r>
      <w:r>
        <w:rPr>
          <w:rFonts w:hint="default" w:ascii="仿宋_GB2312" w:hAnsi="仿宋" w:eastAsia="仿宋_GB2312" w:cs="仿宋"/>
          <w:bCs/>
          <w:kern w:val="0"/>
          <w:sz w:val="32"/>
          <w:szCs w:val="32"/>
          <w:lang w:val="en"/>
        </w:rPr>
        <w:t>2024</w:t>
      </w:r>
      <w:r>
        <w:rPr>
          <w:rFonts w:hint="default" w:ascii="仿宋_GB2312" w:hAnsi="仿宋" w:eastAsia="仿宋_GB2312" w:cs="仿宋"/>
          <w:bCs/>
          <w:kern w:val="0"/>
          <w:sz w:val="32"/>
          <w:szCs w:val="32"/>
        </w:rPr>
        <w:t>年一般公共预算支出表</w:t>
      </w:r>
    </w:p>
    <w:p w14:paraId="4D92DAF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default" w:ascii="仿宋_GB2312" w:hAnsi="仿宋" w:eastAsia="仿宋_GB2312" w:cs="仿宋"/>
          <w:bCs/>
          <w:kern w:val="0"/>
          <w:sz w:val="32"/>
          <w:szCs w:val="32"/>
        </w:rPr>
        <w:t>6.</w:t>
      </w:r>
      <w:r>
        <w:rPr>
          <w:rFonts w:hint="eastAsia" w:ascii="仿宋_GB2312" w:hAnsi="仿宋" w:eastAsia="仿宋_GB2312" w:cs="仿宋"/>
          <w:bCs/>
          <w:kern w:val="0"/>
          <w:sz w:val="32"/>
          <w:szCs w:val="32"/>
          <w:lang w:val="en-US" w:eastAsia="zh-CN"/>
        </w:rPr>
        <w:t>黄山市人大预算联网监督中心</w:t>
      </w:r>
      <w:r>
        <w:rPr>
          <w:rFonts w:hint="default" w:ascii="仿宋_GB2312" w:hAnsi="仿宋" w:eastAsia="仿宋_GB2312" w:cs="仿宋"/>
          <w:bCs/>
          <w:kern w:val="0"/>
          <w:sz w:val="32"/>
          <w:szCs w:val="32"/>
          <w:lang w:val="en"/>
        </w:rPr>
        <w:t>2024</w:t>
      </w:r>
      <w:r>
        <w:rPr>
          <w:rFonts w:hint="default" w:ascii="仿宋_GB2312" w:hAnsi="仿宋" w:eastAsia="仿宋_GB2312" w:cs="仿宋"/>
          <w:bCs/>
          <w:kern w:val="0"/>
          <w:sz w:val="32"/>
          <w:szCs w:val="32"/>
        </w:rPr>
        <w:t>年一般公共预算基本支出表</w:t>
      </w:r>
    </w:p>
    <w:p w14:paraId="6E65085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default" w:ascii="仿宋_GB2312" w:hAnsi="仿宋" w:eastAsia="仿宋_GB2312" w:cs="仿宋"/>
          <w:bCs/>
          <w:kern w:val="0"/>
          <w:sz w:val="32"/>
          <w:szCs w:val="32"/>
        </w:rPr>
        <w:t>7.</w:t>
      </w:r>
      <w:r>
        <w:rPr>
          <w:rFonts w:hint="eastAsia" w:ascii="仿宋_GB2312" w:hAnsi="仿宋" w:eastAsia="仿宋_GB2312" w:cs="仿宋"/>
          <w:bCs/>
          <w:kern w:val="0"/>
          <w:sz w:val="32"/>
          <w:szCs w:val="32"/>
          <w:lang w:val="en-US" w:eastAsia="zh-CN"/>
        </w:rPr>
        <w:t>黄山市人大预算联网监督中心</w:t>
      </w:r>
      <w:r>
        <w:rPr>
          <w:rFonts w:hint="default" w:ascii="仿宋_GB2312" w:hAnsi="仿宋" w:eastAsia="仿宋_GB2312" w:cs="仿宋"/>
          <w:bCs/>
          <w:kern w:val="0"/>
          <w:sz w:val="32"/>
          <w:szCs w:val="32"/>
          <w:lang w:val="en"/>
        </w:rPr>
        <w:t>2024</w:t>
      </w:r>
      <w:r>
        <w:rPr>
          <w:rFonts w:hint="default" w:ascii="仿宋_GB2312" w:hAnsi="仿宋" w:eastAsia="仿宋_GB2312" w:cs="仿宋"/>
          <w:bCs/>
          <w:kern w:val="0"/>
          <w:sz w:val="32"/>
          <w:szCs w:val="32"/>
        </w:rPr>
        <w:t>年政府性基金预算支出表</w:t>
      </w:r>
    </w:p>
    <w:p w14:paraId="2D57620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default" w:ascii="仿宋_GB2312" w:hAnsi="仿宋" w:eastAsia="仿宋_GB2312" w:cs="仿宋"/>
          <w:bCs/>
          <w:kern w:val="0"/>
          <w:sz w:val="32"/>
          <w:szCs w:val="32"/>
        </w:rPr>
        <w:t>8.</w:t>
      </w:r>
      <w:r>
        <w:rPr>
          <w:rFonts w:hint="eastAsia" w:ascii="仿宋_GB2312" w:hAnsi="仿宋" w:eastAsia="仿宋_GB2312" w:cs="仿宋"/>
          <w:bCs/>
          <w:kern w:val="0"/>
          <w:sz w:val="32"/>
          <w:szCs w:val="32"/>
          <w:lang w:val="en-US" w:eastAsia="zh-CN"/>
        </w:rPr>
        <w:t>黄山市人大预算联网监督中心</w:t>
      </w:r>
      <w:r>
        <w:rPr>
          <w:rFonts w:hint="default" w:ascii="仿宋_GB2312" w:hAnsi="仿宋" w:eastAsia="仿宋_GB2312" w:cs="仿宋"/>
          <w:bCs/>
          <w:kern w:val="0"/>
          <w:sz w:val="32"/>
          <w:szCs w:val="32"/>
          <w:lang w:val="en"/>
        </w:rPr>
        <w:t>2024</w:t>
      </w:r>
      <w:r>
        <w:rPr>
          <w:rFonts w:hint="default" w:ascii="仿宋_GB2312" w:hAnsi="仿宋" w:eastAsia="仿宋_GB2312" w:cs="仿宋"/>
          <w:bCs/>
          <w:kern w:val="0"/>
          <w:sz w:val="32"/>
          <w:szCs w:val="32"/>
        </w:rPr>
        <w:t>年国有资本经营预算支出表</w:t>
      </w:r>
    </w:p>
    <w:p w14:paraId="1DC3F92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仿宋" w:eastAsia="仿宋_GB2312" w:cs="仿宋"/>
          <w:bCs/>
          <w:kern w:val="0"/>
          <w:sz w:val="32"/>
          <w:szCs w:val="32"/>
          <w:lang w:val="en-US" w:eastAsia="zh-CN"/>
        </w:rPr>
        <w:sectPr>
          <w:footerReference r:id="rId5" w:type="default"/>
          <w:pgSz w:w="11906" w:h="16838"/>
          <w:pgMar w:top="1440" w:right="1797" w:bottom="1440" w:left="1797" w:header="850" w:footer="992" w:gutter="0"/>
          <w:pgBorders>
            <w:top w:val="none" w:sz="0" w:space="0"/>
            <w:left w:val="none" w:sz="0" w:space="0"/>
            <w:bottom w:val="none" w:sz="0" w:space="0"/>
            <w:right w:val="none" w:sz="0" w:space="0"/>
          </w:pgBorders>
          <w:pgNumType w:fmt="decimal" w:start="1"/>
          <w:cols w:space="720" w:num="1"/>
          <w:rtlGutter w:val="0"/>
          <w:docGrid w:type="linesAndChars" w:linePitch="437" w:charSpace="2555"/>
        </w:sectPr>
      </w:pPr>
    </w:p>
    <w:p w14:paraId="18FFEC4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lang w:val="en-US" w:eastAsia="zh-CN"/>
        </w:rPr>
      </w:pPr>
      <w:r>
        <w:rPr>
          <w:rFonts w:hint="eastAsia" w:ascii="仿宋_GB2312" w:hAnsi="仿宋" w:eastAsia="仿宋_GB2312" w:cs="仿宋"/>
          <w:bCs/>
          <w:kern w:val="0"/>
          <w:sz w:val="32"/>
          <w:szCs w:val="32"/>
          <w:lang w:val="en-US" w:eastAsia="zh-CN"/>
        </w:rPr>
        <w:t>9.黄山市人大预算联网监督中心2024年基本支出表</w:t>
      </w:r>
    </w:p>
    <w:p w14:paraId="12C471C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rPr>
      </w:pPr>
      <w:r>
        <w:rPr>
          <w:rFonts w:hint="eastAsia" w:ascii="仿宋_GB2312" w:hAnsi="仿宋" w:eastAsia="仿宋_GB2312" w:cs="仿宋"/>
          <w:bCs/>
          <w:kern w:val="0"/>
          <w:sz w:val="32"/>
          <w:szCs w:val="32"/>
          <w:lang w:val="en-US" w:eastAsia="zh-CN"/>
        </w:rPr>
        <w:t>10</w:t>
      </w:r>
      <w:r>
        <w:rPr>
          <w:rFonts w:hint="default" w:ascii="仿宋_GB2312" w:hAnsi="仿宋" w:eastAsia="仿宋_GB2312" w:cs="仿宋"/>
          <w:bCs/>
          <w:kern w:val="0"/>
          <w:sz w:val="32"/>
          <w:szCs w:val="32"/>
        </w:rPr>
        <w:t>.</w:t>
      </w:r>
      <w:r>
        <w:rPr>
          <w:rFonts w:hint="eastAsia" w:ascii="仿宋_GB2312" w:hAnsi="仿宋" w:eastAsia="仿宋_GB2312" w:cs="仿宋"/>
          <w:bCs/>
          <w:kern w:val="0"/>
          <w:sz w:val="32"/>
          <w:szCs w:val="32"/>
          <w:lang w:val="en-US" w:eastAsia="zh-CN"/>
        </w:rPr>
        <w:t>黄山市人大预算联网监督中心</w:t>
      </w:r>
      <w:r>
        <w:rPr>
          <w:rFonts w:hint="default" w:ascii="仿宋_GB2312" w:hAnsi="仿宋" w:eastAsia="仿宋_GB2312" w:cs="仿宋"/>
          <w:bCs/>
          <w:kern w:val="0"/>
          <w:sz w:val="32"/>
          <w:szCs w:val="32"/>
          <w:lang w:val="en"/>
        </w:rPr>
        <w:t>2024</w:t>
      </w:r>
      <w:r>
        <w:rPr>
          <w:rFonts w:hint="default" w:ascii="仿宋_GB2312" w:hAnsi="仿宋" w:eastAsia="仿宋_GB2312" w:cs="仿宋"/>
          <w:bCs/>
          <w:kern w:val="0"/>
          <w:sz w:val="32"/>
          <w:szCs w:val="32"/>
        </w:rPr>
        <w:t>年项目支出表</w:t>
      </w:r>
    </w:p>
    <w:p w14:paraId="6BA7890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仿宋" w:eastAsia="仿宋_GB2312" w:cs="仿宋"/>
          <w:bCs/>
          <w:kern w:val="0"/>
          <w:sz w:val="32"/>
          <w:szCs w:val="32"/>
          <w:lang w:eastAsia="zh-CN"/>
        </w:rPr>
      </w:pPr>
      <w:r>
        <w:rPr>
          <w:rFonts w:hint="default" w:ascii="仿宋_GB2312" w:hAnsi="仿宋" w:eastAsia="仿宋_GB2312" w:cs="仿宋"/>
          <w:bCs/>
          <w:kern w:val="0"/>
          <w:sz w:val="32"/>
          <w:szCs w:val="32"/>
        </w:rPr>
        <w:t>1</w:t>
      </w:r>
      <w:r>
        <w:rPr>
          <w:rFonts w:hint="eastAsia" w:ascii="仿宋_GB2312" w:hAnsi="仿宋" w:eastAsia="仿宋_GB2312" w:cs="仿宋"/>
          <w:bCs/>
          <w:kern w:val="0"/>
          <w:sz w:val="32"/>
          <w:szCs w:val="32"/>
          <w:lang w:val="en-US" w:eastAsia="zh-CN"/>
        </w:rPr>
        <w:t>1</w:t>
      </w:r>
      <w:r>
        <w:rPr>
          <w:rFonts w:hint="default" w:ascii="仿宋_GB2312" w:hAnsi="仿宋" w:eastAsia="仿宋_GB2312" w:cs="仿宋"/>
          <w:bCs/>
          <w:kern w:val="0"/>
          <w:sz w:val="32"/>
          <w:szCs w:val="32"/>
        </w:rPr>
        <w:t>.</w:t>
      </w:r>
      <w:r>
        <w:rPr>
          <w:rFonts w:hint="eastAsia" w:ascii="仿宋_GB2312" w:hAnsi="仿宋" w:eastAsia="仿宋_GB2312" w:cs="仿宋"/>
          <w:bCs/>
          <w:kern w:val="0"/>
          <w:sz w:val="32"/>
          <w:szCs w:val="32"/>
          <w:lang w:val="en-US" w:eastAsia="zh-CN"/>
        </w:rPr>
        <w:t>黄山市人大预算联网监督中心</w:t>
      </w:r>
      <w:r>
        <w:rPr>
          <w:rFonts w:hint="default" w:ascii="仿宋_GB2312" w:hAnsi="仿宋" w:eastAsia="仿宋_GB2312" w:cs="仿宋"/>
          <w:bCs/>
          <w:kern w:val="0"/>
          <w:sz w:val="32"/>
          <w:szCs w:val="32"/>
          <w:lang w:val="en"/>
        </w:rPr>
        <w:t>2024</w:t>
      </w:r>
      <w:r>
        <w:rPr>
          <w:rFonts w:hint="default" w:ascii="仿宋_GB2312" w:hAnsi="仿宋" w:eastAsia="仿宋_GB2312" w:cs="仿宋"/>
          <w:bCs/>
          <w:kern w:val="0"/>
          <w:sz w:val="32"/>
          <w:szCs w:val="32"/>
        </w:rPr>
        <w:t>年政府采购支</w:t>
      </w:r>
      <w:r>
        <w:rPr>
          <w:rFonts w:hint="eastAsia" w:ascii="仿宋_GB2312" w:hAnsi="仿宋" w:eastAsia="仿宋_GB2312" w:cs="仿宋"/>
          <w:bCs/>
          <w:kern w:val="0"/>
          <w:sz w:val="32"/>
          <w:szCs w:val="32"/>
          <w:lang w:eastAsia="zh-CN"/>
        </w:rPr>
        <w:t>支</w:t>
      </w:r>
    </w:p>
    <w:p w14:paraId="5B07645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lang w:val="en-US" w:eastAsia="zh-CN"/>
        </w:rPr>
      </w:pPr>
      <w:r>
        <w:rPr>
          <w:rFonts w:hint="eastAsia" w:ascii="仿宋_GB2312" w:hAnsi="仿宋" w:eastAsia="仿宋_GB2312" w:cs="仿宋"/>
          <w:bCs/>
          <w:kern w:val="0"/>
          <w:sz w:val="32"/>
          <w:szCs w:val="32"/>
          <w:lang w:val="en-US" w:eastAsia="zh-CN"/>
        </w:rPr>
        <w:t>12.黄山市人大预算联网监督中心</w:t>
      </w:r>
      <w:r>
        <w:rPr>
          <w:rFonts w:hint="default" w:ascii="仿宋_GB2312" w:hAnsi="仿宋" w:eastAsia="仿宋_GB2312" w:cs="仿宋"/>
          <w:bCs/>
          <w:kern w:val="0"/>
          <w:sz w:val="32"/>
          <w:szCs w:val="32"/>
          <w:lang w:val="en" w:eastAsia="zh-CN"/>
        </w:rPr>
        <w:t>2024</w:t>
      </w:r>
      <w:r>
        <w:rPr>
          <w:rFonts w:hint="default" w:ascii="仿宋_GB2312" w:hAnsi="仿宋" w:eastAsia="仿宋_GB2312" w:cs="仿宋"/>
          <w:bCs/>
          <w:kern w:val="0"/>
          <w:sz w:val="32"/>
          <w:szCs w:val="32"/>
          <w:lang w:val="en-US" w:eastAsia="zh-CN"/>
        </w:rPr>
        <w:t>年政府购买服务</w:t>
      </w:r>
      <w:r>
        <w:rPr>
          <w:rFonts w:hint="eastAsia" w:ascii="仿宋_GB2312" w:hAnsi="仿宋" w:eastAsia="仿宋_GB2312" w:cs="仿宋"/>
          <w:bCs/>
          <w:kern w:val="0"/>
          <w:sz w:val="32"/>
          <w:szCs w:val="32"/>
          <w:lang w:val="en-US" w:eastAsia="zh-CN"/>
        </w:rPr>
        <w:t>预算</w:t>
      </w:r>
      <w:r>
        <w:rPr>
          <w:rFonts w:hint="default" w:ascii="仿宋_GB2312" w:hAnsi="仿宋" w:eastAsia="仿宋_GB2312" w:cs="仿宋"/>
          <w:bCs/>
          <w:kern w:val="0"/>
          <w:sz w:val="32"/>
          <w:szCs w:val="32"/>
          <w:lang w:val="en-US" w:eastAsia="zh-CN"/>
        </w:rPr>
        <w:t>支出表</w:t>
      </w:r>
    </w:p>
    <w:p w14:paraId="795974C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kern w:val="0"/>
          <w:sz w:val="32"/>
          <w:szCs w:val="32"/>
          <w:lang w:val="en-US" w:eastAsia="zh-CN"/>
        </w:rPr>
      </w:pPr>
      <w:r>
        <w:rPr>
          <w:rFonts w:hint="eastAsia" w:ascii="仿宋_GB2312" w:hAnsi="仿宋" w:eastAsia="仿宋_GB2312" w:cs="仿宋"/>
          <w:bCs/>
          <w:kern w:val="0"/>
          <w:sz w:val="32"/>
          <w:szCs w:val="32"/>
          <w:lang w:val="en-US" w:eastAsia="zh-CN"/>
        </w:rPr>
        <w:t>13.黄山市人大预算联网监督中心2024年项目支出绩效目标及项目情况表</w:t>
      </w:r>
    </w:p>
    <w:p w14:paraId="235D3C6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default" w:ascii="仿宋_GB2312" w:hAnsi="仿宋" w:eastAsia="仿宋_GB2312" w:cs="仿宋"/>
          <w:bCs/>
          <w:i/>
          <w:iCs/>
          <w:kern w:val="0"/>
          <w:sz w:val="32"/>
          <w:szCs w:val="32"/>
          <w:lang w:val="en-US" w:eastAsia="zh-CN"/>
        </w:rPr>
        <w:sectPr>
          <w:footerReference r:id="rId6" w:type="default"/>
          <w:pgSz w:w="11906"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437" w:charSpace="2555"/>
        </w:sectPr>
      </w:pPr>
      <w:r>
        <w:rPr>
          <w:rFonts w:hint="eastAsia" w:ascii="仿宋_GB2312" w:hAnsi="仿宋" w:eastAsia="仿宋_GB2312" w:cs="仿宋"/>
          <w:bCs/>
          <w:kern w:val="0"/>
          <w:sz w:val="32"/>
          <w:szCs w:val="32"/>
          <w:lang w:val="en-US" w:eastAsia="zh-CN"/>
        </w:rPr>
        <w:t>14.黄山市人大预算联网监督中心2024年“三公”经费财政拨款支出预算</w:t>
      </w:r>
    </w:p>
    <w:p w14:paraId="22C7CF8D">
      <w:pPr>
        <w:pStyle w:val="7"/>
        <w:widowControl/>
        <w:spacing w:before="150" w:beforeAutospacing="0" w:after="0" w:afterAutospacing="0" w:line="560" w:lineRule="exact"/>
        <w:jc w:val="left"/>
        <w:rPr>
          <w:rStyle w:val="11"/>
          <w:rFonts w:hint="default" w:ascii="仿宋_GB2312" w:hAnsi="Times New Roman" w:eastAsia="仿宋_GB2312" w:cs="Times New Roman"/>
          <w:bCs w:val="0"/>
          <w:kern w:val="0"/>
          <w:sz w:val="32"/>
          <w:szCs w:val="32"/>
          <w:shd w:val="clear" w:color="auto" w:fill="FFFFFF"/>
        </w:rPr>
      </w:pPr>
      <w:r>
        <w:rPr>
          <w:rStyle w:val="11"/>
          <w:rFonts w:hint="default" w:ascii="仿宋_GB2312" w:hAnsi="Times New Roman" w:eastAsia="仿宋_GB2312" w:cs="Times New Roman"/>
          <w:bCs w:val="0"/>
          <w:kern w:val="0"/>
          <w:sz w:val="32"/>
          <w:szCs w:val="32"/>
          <w:shd w:val="clear" w:color="auto" w:fill="FFFFFF"/>
        </w:rPr>
        <w:t xml:space="preserve">第三部分 </w:t>
      </w:r>
      <w:r>
        <w:rPr>
          <w:rStyle w:val="11"/>
          <w:rFonts w:hint="default" w:ascii="仿宋_GB2312" w:hAnsi="Times New Roman" w:eastAsia="仿宋_GB2312" w:cs="Times New Roman"/>
          <w:bCs w:val="0"/>
          <w:kern w:val="0"/>
          <w:sz w:val="32"/>
          <w:szCs w:val="32"/>
          <w:shd w:val="clear" w:color="auto" w:fill="FFFFFF"/>
          <w:lang w:val="en"/>
        </w:rPr>
        <w:t>2024</w:t>
      </w:r>
      <w:r>
        <w:rPr>
          <w:rStyle w:val="11"/>
          <w:rFonts w:hint="eastAsia" w:ascii="仿宋_GB2312" w:hAnsi="Times New Roman" w:eastAsia="仿宋_GB2312" w:cs="Times New Roman"/>
          <w:bCs w:val="0"/>
          <w:kern w:val="0"/>
          <w:sz w:val="32"/>
          <w:szCs w:val="32"/>
          <w:shd w:val="clear" w:color="auto" w:fill="FFFFFF"/>
          <w:lang w:eastAsia="zh-CN"/>
        </w:rPr>
        <w:t>单位预算</w:t>
      </w:r>
      <w:r>
        <w:rPr>
          <w:rStyle w:val="11"/>
          <w:rFonts w:hint="default" w:ascii="仿宋_GB2312" w:hAnsi="Times New Roman" w:eastAsia="仿宋_GB2312" w:cs="Times New Roman"/>
          <w:bCs w:val="0"/>
          <w:kern w:val="0"/>
          <w:sz w:val="32"/>
          <w:szCs w:val="32"/>
          <w:shd w:val="clear" w:color="auto" w:fill="FFFFFF"/>
        </w:rPr>
        <w:t>情况说明</w:t>
      </w:r>
    </w:p>
    <w:p w14:paraId="1B36E25E">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1.关于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年收支预算总体情况说明</w:t>
      </w:r>
    </w:p>
    <w:p w14:paraId="4C63CD23">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2.关于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年收入预算情况说明</w:t>
      </w:r>
    </w:p>
    <w:p w14:paraId="0722553A">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shd w:val="clear" w:color="auto" w:fill="FFFFFF"/>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3.关于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年支出预算情况说明</w:t>
      </w:r>
    </w:p>
    <w:p w14:paraId="7D46E67F">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4.关于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年财政拨款收支预算总体情况说明</w:t>
      </w:r>
    </w:p>
    <w:p w14:paraId="33A0D9BA">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5.关于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年一般公共预算财政拨款情况说明</w:t>
      </w:r>
    </w:p>
    <w:p w14:paraId="1668815C">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6.关于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年一般公共预算基本支出情况说明</w:t>
      </w:r>
    </w:p>
    <w:p w14:paraId="0C22665C">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7.关于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年政府性基金预算拨款情况说明</w:t>
      </w:r>
    </w:p>
    <w:p w14:paraId="13B05F2C">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shd w:val="clear" w:color="auto" w:fill="FFFFFF"/>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8.关于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年国有资本经营预算拨款情况说明</w:t>
      </w:r>
    </w:p>
    <w:p w14:paraId="48292063">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shd w:val="clear" w:color="auto" w:fill="FFFFFF"/>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9.关于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年项目支出表的说明</w:t>
      </w:r>
    </w:p>
    <w:p w14:paraId="08299F7B">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shd w:val="clear" w:color="auto" w:fill="FFFFFF"/>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10.关于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年政府采购支出表的说明</w:t>
      </w:r>
    </w:p>
    <w:p w14:paraId="56C23490">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shd w:val="clear" w:color="auto" w:fill="FFFFFF"/>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11.关于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年政府购买服务支出表的说明</w:t>
      </w:r>
    </w:p>
    <w:p w14:paraId="6A0C2421">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shd w:val="clear" w:color="auto" w:fill="FFFFFF"/>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12.关于</w:t>
      </w:r>
      <w:r>
        <w:rPr>
          <w:rFonts w:hint="default" w:ascii="仿宋_GB2312" w:hAnsi="Times New Roman" w:eastAsia="仿宋_GB2312" w:cs="Times New Roman"/>
          <w:kern w:val="0"/>
          <w:sz w:val="32"/>
          <w:szCs w:val="32"/>
          <w:shd w:val="clear" w:color="auto" w:fill="FFFFFF"/>
          <w:lang w:val="en" w:eastAsia="zh-CN" w:bidi="ar-SA"/>
        </w:rPr>
        <w:t>2024</w:t>
      </w:r>
      <w:r>
        <w:rPr>
          <w:rFonts w:hint="eastAsia" w:ascii="仿宋_GB2312" w:hAnsi="Times New Roman" w:eastAsia="仿宋_GB2312" w:cs="Times New Roman"/>
          <w:kern w:val="0"/>
          <w:sz w:val="32"/>
          <w:szCs w:val="32"/>
          <w:shd w:val="clear" w:color="auto" w:fill="FFFFFF"/>
          <w:lang w:val="en-US" w:eastAsia="zh-CN" w:bidi="ar-SA"/>
        </w:rPr>
        <w:t>年“三公”经费预算情况说明</w:t>
      </w:r>
    </w:p>
    <w:p w14:paraId="2805598B">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13.其他重要事项情况说明</w:t>
      </w:r>
    </w:p>
    <w:p w14:paraId="4C677572">
      <w:pPr>
        <w:pStyle w:val="7"/>
        <w:widowControl/>
        <w:spacing w:before="150" w:beforeAutospacing="0" w:after="0" w:afterAutospacing="0" w:line="560" w:lineRule="exact"/>
        <w:ind w:firstLine="664" w:firstLineChars="200"/>
        <w:jc w:val="left"/>
        <w:rPr>
          <w:rStyle w:val="11"/>
          <w:rFonts w:hint="default" w:ascii="仿宋_GB2312" w:hAnsi="Times New Roman" w:eastAsia="仿宋_GB2312" w:cs="Times New Roman"/>
          <w:bCs w:val="0"/>
          <w:kern w:val="0"/>
          <w:sz w:val="32"/>
          <w:szCs w:val="32"/>
          <w:shd w:val="clear" w:color="auto" w:fill="FFFFFF"/>
        </w:rPr>
      </w:pPr>
      <w:r>
        <w:rPr>
          <w:rStyle w:val="11"/>
          <w:rFonts w:hint="eastAsia" w:ascii="仿宋_GB2312" w:hAnsi="Times New Roman" w:eastAsia="仿宋_GB2312" w:cs="Times New Roman"/>
          <w:bCs w:val="0"/>
          <w:kern w:val="0"/>
          <w:sz w:val="32"/>
          <w:szCs w:val="32"/>
          <w:shd w:val="clear" w:color="auto" w:fill="FFFFFF"/>
        </w:rPr>
        <w:t>第四部分 名词解释</w:t>
      </w:r>
    </w:p>
    <w:p w14:paraId="526C9ED9">
      <w:pPr>
        <w:pStyle w:val="7"/>
        <w:widowControl/>
        <w:spacing w:before="150" w:beforeAutospacing="0" w:after="0" w:afterAutospacing="0" w:line="560" w:lineRule="exact"/>
        <w:ind w:firstLine="664" w:firstLineChars="200"/>
        <w:jc w:val="left"/>
        <w:rPr>
          <w:rStyle w:val="11"/>
          <w:rFonts w:hint="default" w:ascii="仿宋_GB2312" w:hAnsi="Times New Roman" w:eastAsia="仿宋_GB2312" w:cs="Times New Roman"/>
          <w:bCs w:val="0"/>
          <w:kern w:val="0"/>
          <w:sz w:val="32"/>
          <w:szCs w:val="32"/>
          <w:shd w:val="clear" w:color="auto" w:fill="FFFFFF"/>
        </w:rPr>
      </w:pPr>
    </w:p>
    <w:p w14:paraId="01A31ADE">
      <w:pPr>
        <w:pStyle w:val="7"/>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方正黑体_GBK" w:hAnsi="方正黑体_GBK" w:eastAsia="方正黑体_GBK" w:cs="方正黑体_GBK"/>
          <w:b w:val="0"/>
          <w:bCs/>
          <w:sz w:val="32"/>
          <w:szCs w:val="32"/>
        </w:rPr>
      </w:pPr>
    </w:p>
    <w:p w14:paraId="228945D8">
      <w:pPr>
        <w:pStyle w:val="7"/>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方正黑体_GBK" w:hAnsi="方正黑体_GBK" w:eastAsia="方正黑体_GBK" w:cs="方正黑体_GBK"/>
          <w:b w:val="0"/>
          <w:bCs/>
          <w:sz w:val="32"/>
          <w:szCs w:val="32"/>
        </w:rPr>
      </w:pPr>
    </w:p>
    <w:p w14:paraId="714AAEAF">
      <w:pPr>
        <w:pStyle w:val="7"/>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方正黑体_GBK" w:hAnsi="方正黑体_GBK" w:eastAsia="方正黑体_GBK" w:cs="方正黑体_GBK"/>
          <w:b w:val="0"/>
          <w:bCs/>
          <w:sz w:val="32"/>
          <w:szCs w:val="32"/>
        </w:rPr>
      </w:pPr>
    </w:p>
    <w:p w14:paraId="069703BD">
      <w:pPr>
        <w:pStyle w:val="7"/>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方正黑体_GBK" w:hAnsi="方正黑体_GBK" w:eastAsia="方正黑体_GBK" w:cs="方正黑体_GBK"/>
          <w:b w:val="0"/>
          <w:bCs/>
          <w:sz w:val="32"/>
          <w:szCs w:val="32"/>
        </w:rPr>
      </w:pPr>
    </w:p>
    <w:p w14:paraId="71559890">
      <w:pPr>
        <w:pStyle w:val="7"/>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方正黑体_GBK" w:hAnsi="方正黑体_GBK" w:eastAsia="方正黑体_GBK" w:cs="方正黑体_GBK"/>
          <w:b w:val="0"/>
          <w:bCs/>
          <w:sz w:val="32"/>
          <w:szCs w:val="32"/>
        </w:rPr>
      </w:pPr>
    </w:p>
    <w:p w14:paraId="60042037">
      <w:pPr>
        <w:pStyle w:val="7"/>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方正黑体_GBK" w:hAnsi="方正黑体_GBK" w:eastAsia="方正黑体_GBK" w:cs="方正黑体_GBK"/>
          <w:b w:val="0"/>
          <w:bCs/>
          <w:sz w:val="32"/>
          <w:szCs w:val="32"/>
        </w:rPr>
      </w:pPr>
    </w:p>
    <w:p w14:paraId="44621F71">
      <w:pPr>
        <w:pStyle w:val="7"/>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方正黑体_GBK" w:hAnsi="方正黑体_GBK" w:eastAsia="方正黑体_GBK" w:cs="方正黑体_GBK"/>
          <w:b w:val="0"/>
          <w:bCs/>
          <w:sz w:val="32"/>
          <w:szCs w:val="32"/>
        </w:rPr>
      </w:pPr>
    </w:p>
    <w:p w14:paraId="570275A5">
      <w:pPr>
        <w:pStyle w:val="7"/>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方正黑体_GBK" w:hAnsi="方正黑体_GBK" w:eastAsia="方正黑体_GBK" w:cs="方正黑体_GBK"/>
          <w:b w:val="0"/>
          <w:bCs/>
          <w:sz w:val="32"/>
          <w:szCs w:val="32"/>
        </w:rPr>
      </w:pPr>
    </w:p>
    <w:p w14:paraId="5EB119CF">
      <w:pPr>
        <w:pStyle w:val="7"/>
        <w:widowControl/>
        <w:spacing w:before="0" w:beforeAutospacing="0" w:after="0" w:afterAutospacing="0" w:line="555" w:lineRule="atLeast"/>
        <w:ind w:firstLine="372" w:firstLineChars="100"/>
        <w:jc w:val="center"/>
        <w:rPr>
          <w:rFonts w:hint="eastAsia" w:ascii="Times New Roman" w:hAnsi="Times New Roman" w:eastAsia="黑体" w:cs="Times New Roman"/>
          <w:color w:val="333333"/>
          <w:kern w:val="0"/>
          <w:sz w:val="36"/>
          <w:szCs w:val="36"/>
          <w:shd w:val="clear" w:color="auto" w:fill="FFFFFF"/>
        </w:rPr>
      </w:pPr>
      <w:r>
        <w:rPr>
          <w:rFonts w:hint="eastAsia" w:ascii="Times New Roman" w:hAnsi="Times New Roman" w:eastAsia="黑体" w:cs="Times New Roman"/>
          <w:color w:val="333333"/>
          <w:kern w:val="0"/>
          <w:sz w:val="36"/>
          <w:szCs w:val="36"/>
          <w:shd w:val="clear" w:color="auto" w:fill="FFFFFF"/>
        </w:rPr>
        <w:t xml:space="preserve">第一部分 </w:t>
      </w:r>
      <w:r>
        <w:rPr>
          <w:rFonts w:hint="eastAsia" w:ascii="Times New Roman" w:hAnsi="Times New Roman" w:eastAsia="黑体" w:cs="Times New Roman"/>
          <w:color w:val="333333"/>
          <w:kern w:val="0"/>
          <w:sz w:val="36"/>
          <w:szCs w:val="36"/>
          <w:shd w:val="clear" w:color="auto" w:fill="FFFFFF"/>
          <w:lang w:eastAsia="zh-CN"/>
        </w:rPr>
        <w:t>单位</w:t>
      </w:r>
      <w:r>
        <w:rPr>
          <w:rFonts w:hint="eastAsia" w:ascii="Times New Roman" w:hAnsi="Times New Roman" w:eastAsia="黑体" w:cs="Times New Roman"/>
          <w:color w:val="333333"/>
          <w:kern w:val="0"/>
          <w:sz w:val="36"/>
          <w:szCs w:val="36"/>
          <w:shd w:val="clear" w:color="auto" w:fill="FFFFFF"/>
        </w:rPr>
        <w:t>概况</w:t>
      </w:r>
    </w:p>
    <w:p w14:paraId="56C14262">
      <w:pPr>
        <w:pStyle w:val="7"/>
        <w:keepNext w:val="0"/>
        <w:keepLines w:val="0"/>
        <w:pageBreakBefore w:val="0"/>
        <w:kinsoku/>
        <w:overflowPunct/>
        <w:topLinePunct w:val="0"/>
        <w:autoSpaceDE/>
        <w:autoSpaceDN/>
        <w:bidi w:val="0"/>
        <w:adjustRightInd w:val="0"/>
        <w:snapToGrid w:val="0"/>
        <w:spacing w:line="560" w:lineRule="exact"/>
        <w:rPr>
          <w:rFonts w:hint="default" w:ascii="TimesNewRoman" w:hAnsi="TimesNewRoman" w:eastAsia="黑体" w:cs="TimesNewRoman"/>
          <w:bCs/>
          <w:sz w:val="32"/>
          <w:szCs w:val="32"/>
        </w:rPr>
      </w:pPr>
    </w:p>
    <w:p w14:paraId="78AD1324">
      <w:pPr>
        <w:pStyle w:val="7"/>
        <w:widowControl/>
        <w:numPr>
          <w:ilvl w:val="0"/>
          <w:numId w:val="1"/>
        </w:numPr>
        <w:tabs>
          <w:tab w:val="right" w:pos="8691"/>
        </w:tabs>
        <w:adjustRightInd w:val="0"/>
        <w:snapToGrid w:val="0"/>
        <w:spacing w:before="0" w:beforeAutospacing="0" w:after="0" w:afterAutospacing="0" w:line="360" w:lineRule="auto"/>
        <w:ind w:firstLine="650" w:firstLineChars="196"/>
        <w:jc w:val="both"/>
        <w:rPr>
          <w:rFonts w:hint="default" w:ascii="Times New Roman" w:hAnsi="Times New Roman" w:eastAsia="黑体" w:cs="Times New Roman"/>
          <w:color w:val="333333"/>
          <w:kern w:val="0"/>
          <w:sz w:val="32"/>
          <w:szCs w:val="32"/>
          <w:shd w:val="clear" w:color="auto" w:fill="FFFFFF"/>
        </w:rPr>
      </w:pPr>
      <w:r>
        <w:rPr>
          <w:rFonts w:hint="default" w:ascii="Times New Roman" w:hAnsi="Times New Roman" w:eastAsia="黑体" w:cs="Times New Roman"/>
          <w:color w:val="333333"/>
          <w:kern w:val="0"/>
          <w:sz w:val="32"/>
          <w:szCs w:val="32"/>
          <w:shd w:val="clear" w:color="auto" w:fill="FFFFFF"/>
        </w:rPr>
        <w:t>主要职责</w:t>
      </w:r>
    </w:p>
    <w:p w14:paraId="19902349">
      <w:pPr>
        <w:pStyle w:val="17"/>
        <w:keepNext w:val="0"/>
        <w:keepLines w:val="0"/>
        <w:pageBreakBefore w:val="0"/>
        <w:widowControl/>
        <w:kinsoku/>
        <w:wordWrap/>
        <w:overflowPunct/>
        <w:topLinePunct w:val="0"/>
        <w:autoSpaceDE/>
        <w:autoSpaceDN/>
        <w:bidi w:val="0"/>
        <w:adjustRightInd/>
        <w:snapToGrid/>
        <w:textAlignment w:val="auto"/>
        <w:rPr>
          <w:rFonts w:hint="default"/>
          <w:shd w:val="clear" w:color="auto" w:fill="FFFFFF"/>
          <w:lang w:val="en-US" w:eastAsia="zh-CN"/>
        </w:rPr>
      </w:pPr>
      <w:r>
        <w:rPr>
          <w:rFonts w:hint="eastAsia"/>
          <w:shd w:val="clear" w:color="auto" w:fill="FFFFFF"/>
          <w:lang w:val="en-US" w:eastAsia="zh-CN"/>
        </w:rPr>
        <w:t>根据《关于同意设立市人大预算联网监督中心的批复》文件规定，黄山市人大预算联网监督中心主要职责是：</w:t>
      </w:r>
    </w:p>
    <w:p w14:paraId="6655D5E3">
      <w:pPr>
        <w:pStyle w:val="17"/>
        <w:keepNext w:val="0"/>
        <w:keepLines w:val="0"/>
        <w:pageBreakBefore w:val="0"/>
        <w:widowControl/>
        <w:kinsoku/>
        <w:wordWrap/>
        <w:overflowPunct/>
        <w:topLinePunct w:val="0"/>
        <w:autoSpaceDE/>
        <w:autoSpaceDN/>
        <w:bidi w:val="0"/>
        <w:adjustRightInd/>
        <w:snapToGrid/>
        <w:textAlignment w:val="auto"/>
        <w:rPr>
          <w:rFonts w:hint="default"/>
          <w:shd w:val="clear" w:color="auto" w:fill="FFFFFF"/>
          <w:lang w:val="en-US" w:eastAsia="zh-CN"/>
        </w:rPr>
      </w:pPr>
      <w:r>
        <w:rPr>
          <w:rFonts w:hint="eastAsia"/>
          <w:shd w:val="clear" w:color="auto" w:fill="FFFFFF"/>
          <w:lang w:val="en-US" w:eastAsia="zh-CN"/>
        </w:rPr>
        <w:t>（一）负责市人大预算联网监督系统的查询和日常运行管理、数据分析整理、预警反馈、汇总审核、监督监测等信息服务。</w:t>
      </w:r>
    </w:p>
    <w:p w14:paraId="4C512911">
      <w:pPr>
        <w:pStyle w:val="17"/>
        <w:keepNext w:val="0"/>
        <w:keepLines w:val="0"/>
        <w:pageBreakBefore w:val="0"/>
        <w:widowControl/>
        <w:kinsoku/>
        <w:wordWrap/>
        <w:overflowPunct/>
        <w:topLinePunct w:val="0"/>
        <w:autoSpaceDE/>
        <w:autoSpaceDN/>
        <w:bidi w:val="0"/>
        <w:adjustRightInd/>
        <w:snapToGrid/>
        <w:textAlignment w:val="auto"/>
        <w:rPr>
          <w:rFonts w:hint="default"/>
          <w:shd w:val="clear" w:color="auto" w:fill="FFFFFF"/>
          <w:lang w:val="en-US" w:eastAsia="zh-CN"/>
        </w:rPr>
      </w:pPr>
      <w:r>
        <w:rPr>
          <w:rFonts w:hint="eastAsia"/>
          <w:shd w:val="clear" w:color="auto" w:fill="FFFFFF"/>
          <w:lang w:val="en-US" w:eastAsia="zh-CN"/>
        </w:rPr>
        <w:t>（二）负责市人大机关的信息化与网络建设、门户网站管理、网络信息安全等技术服务。</w:t>
      </w:r>
    </w:p>
    <w:p w14:paraId="161C68ED">
      <w:pPr>
        <w:pStyle w:val="7"/>
        <w:keepNext w:val="0"/>
        <w:keepLines w:val="0"/>
        <w:pageBreakBefore w:val="0"/>
        <w:widowControl/>
        <w:tabs>
          <w:tab w:val="right" w:pos="8691"/>
        </w:tabs>
        <w:kinsoku/>
        <w:wordWrap/>
        <w:overflowPunct/>
        <w:topLinePunct w:val="0"/>
        <w:autoSpaceDE/>
        <w:autoSpaceDN/>
        <w:bidi w:val="0"/>
        <w:adjustRightInd w:val="0"/>
        <w:snapToGrid w:val="0"/>
        <w:spacing w:before="0" w:beforeAutospacing="0" w:after="0" w:afterAutospacing="0" w:line="560" w:lineRule="atLeast"/>
        <w:ind w:firstLine="650" w:firstLineChars="196"/>
        <w:jc w:val="both"/>
        <w:textAlignment w:val="auto"/>
        <w:rPr>
          <w:rFonts w:hint="default" w:ascii="Times New Roman" w:hAnsi="Times New Roman" w:eastAsia="黑体" w:cs="Times New Roman"/>
          <w:color w:val="333333"/>
          <w:kern w:val="0"/>
          <w:sz w:val="32"/>
          <w:szCs w:val="32"/>
          <w:shd w:val="clear" w:color="auto" w:fill="FFFFFF"/>
        </w:rPr>
      </w:pPr>
      <w:r>
        <w:rPr>
          <w:rFonts w:hint="eastAsia" w:ascii="Times New Roman" w:hAnsi="Times New Roman" w:eastAsia="黑体" w:cs="Times New Roman"/>
          <w:color w:val="333333"/>
          <w:kern w:val="0"/>
          <w:sz w:val="32"/>
          <w:szCs w:val="32"/>
          <w:shd w:val="clear" w:color="auto" w:fill="FFFFFF"/>
          <w:lang w:val="en-US" w:eastAsia="zh-CN"/>
        </w:rPr>
        <w:t>二、</w:t>
      </w:r>
      <w:r>
        <w:rPr>
          <w:rFonts w:hint="eastAsia" w:ascii="Times New Roman" w:hAnsi="Times New Roman" w:eastAsia="黑体" w:cs="Times New Roman"/>
          <w:color w:val="333333"/>
          <w:kern w:val="0"/>
          <w:sz w:val="32"/>
          <w:szCs w:val="32"/>
          <w:shd w:val="clear" w:color="auto" w:fill="FFFFFF"/>
          <w:lang w:eastAsia="zh-CN"/>
        </w:rPr>
        <w:t>单位</w:t>
      </w:r>
      <w:r>
        <w:rPr>
          <w:rFonts w:hint="default" w:ascii="Times New Roman" w:hAnsi="Times New Roman" w:eastAsia="黑体" w:cs="Times New Roman"/>
          <w:color w:val="333333"/>
          <w:kern w:val="0"/>
          <w:sz w:val="32"/>
          <w:szCs w:val="32"/>
          <w:shd w:val="clear" w:color="auto" w:fill="FFFFFF"/>
        </w:rPr>
        <w:t>预算构成</w:t>
      </w:r>
    </w:p>
    <w:p w14:paraId="66CC65C5">
      <w:pPr>
        <w:pStyle w:val="17"/>
        <w:keepNext w:val="0"/>
        <w:keepLines w:val="0"/>
        <w:pageBreakBefore w:val="0"/>
        <w:widowControl/>
        <w:kinsoku/>
        <w:wordWrap/>
        <w:overflowPunct/>
        <w:topLinePunct w:val="0"/>
        <w:autoSpaceDE/>
        <w:autoSpaceDN/>
        <w:bidi w:val="0"/>
        <w:spacing w:line="560" w:lineRule="atLeast"/>
        <w:textAlignment w:val="auto"/>
        <w:rPr>
          <w:rFonts w:hint="eastAsia"/>
          <w:shd w:val="clear" w:color="auto" w:fill="FFFFFF"/>
          <w:lang w:val="en-US" w:eastAsia="zh-CN"/>
        </w:rPr>
      </w:pPr>
      <w:r>
        <w:rPr>
          <w:rFonts w:hint="eastAsia"/>
          <w:shd w:val="clear" w:color="auto" w:fill="FFFFFF"/>
          <w:lang w:val="en-US" w:eastAsia="zh-CN"/>
        </w:rPr>
        <w:t>黄山市人大预算联网监督中心</w:t>
      </w:r>
      <w:r>
        <w:rPr>
          <w:rFonts w:hint="default"/>
          <w:shd w:val="clear" w:color="auto" w:fill="FFFFFF"/>
          <w:lang w:val="en" w:eastAsia="zh-CN"/>
        </w:rPr>
        <w:t>2024</w:t>
      </w:r>
      <w:r>
        <w:rPr>
          <w:rFonts w:hint="default"/>
          <w:shd w:val="clear" w:color="auto" w:fill="FFFFFF"/>
          <w:lang w:val="en-US" w:eastAsia="zh-CN"/>
        </w:rPr>
        <w:t>年度单位预算仅包括单位本级预算，</w:t>
      </w:r>
      <w:r>
        <w:rPr>
          <w:rFonts w:hint="eastAsia"/>
          <w:shd w:val="clear" w:color="auto" w:fill="FFFFFF"/>
          <w:lang w:val="en-US" w:eastAsia="zh-CN"/>
        </w:rPr>
        <w:t>纳入单位预算编制范围的单位共</w:t>
      </w:r>
      <w:r>
        <w:rPr>
          <w:rFonts w:hint="default"/>
          <w:shd w:val="clear" w:color="auto" w:fill="FFFFFF"/>
          <w:lang w:val="en-US" w:eastAsia="zh-CN"/>
        </w:rPr>
        <w:t>1</w:t>
      </w:r>
      <w:r>
        <w:rPr>
          <w:rFonts w:hint="eastAsia"/>
          <w:shd w:val="clear" w:color="auto" w:fill="FFFFFF"/>
          <w:lang w:val="en-US" w:eastAsia="zh-CN"/>
        </w:rPr>
        <w:t>个，具体情况见下表。</w:t>
      </w:r>
    </w:p>
    <w:tbl>
      <w:tblPr>
        <w:tblStyle w:val="8"/>
        <w:tblW w:w="8654" w:type="dxa"/>
        <w:tblInd w:w="235" w:type="dxa"/>
        <w:shd w:val="clear" w:color="auto" w:fill="FFFFFF"/>
        <w:tblLayout w:type="fixed"/>
        <w:tblCellMar>
          <w:top w:w="0" w:type="dxa"/>
          <w:left w:w="0" w:type="dxa"/>
          <w:bottom w:w="0" w:type="dxa"/>
          <w:right w:w="0" w:type="dxa"/>
        </w:tblCellMar>
      </w:tblPr>
      <w:tblGrid>
        <w:gridCol w:w="1469"/>
        <w:gridCol w:w="2370"/>
        <w:gridCol w:w="2895"/>
        <w:gridCol w:w="1920"/>
      </w:tblGrid>
      <w:tr w14:paraId="0DF35CA9">
        <w:tblPrEx>
          <w:shd w:val="clear" w:color="auto" w:fill="FFFFFF"/>
          <w:tblCellMar>
            <w:top w:w="0" w:type="dxa"/>
            <w:left w:w="0" w:type="dxa"/>
            <w:bottom w:w="0" w:type="dxa"/>
            <w:right w:w="0" w:type="dxa"/>
          </w:tblCellMar>
        </w:tblPrEx>
        <w:trPr>
          <w:trHeight w:val="685" w:hRule="atLeast"/>
        </w:trPr>
        <w:tc>
          <w:tcPr>
            <w:tcW w:w="1469" w:type="dxa"/>
            <w:tcBorders>
              <w:top w:val="single" w:color="000000" w:sz="6" w:space="0"/>
              <w:left w:val="single" w:color="000000" w:sz="6" w:space="0"/>
              <w:bottom w:val="single" w:color="000000" w:sz="6" w:space="0"/>
              <w:right w:val="single" w:color="000000" w:sz="6" w:space="0"/>
            </w:tcBorders>
            <w:shd w:val="clear" w:color="auto" w:fill="FFFFFF"/>
            <w:noWrap w:val="0"/>
            <w:tcMar>
              <w:left w:w="105" w:type="dxa"/>
              <w:bottom w:w="0" w:type="dxa"/>
              <w:right w:w="105" w:type="dxa"/>
            </w:tcMar>
            <w:vAlign w:val="center"/>
          </w:tcPr>
          <w:p w14:paraId="3179EB35">
            <w:pPr>
              <w:pStyle w:val="7"/>
              <w:keepNext w:val="0"/>
              <w:keepLines w:val="0"/>
              <w:pageBreakBefore w:val="0"/>
              <w:widowControl w:val="0"/>
              <w:kinsoku/>
              <w:wordWrap/>
              <w:overflowPunct/>
              <w:topLinePunct w:val="0"/>
              <w:autoSpaceDE/>
              <w:autoSpaceDN/>
              <w:bidi w:val="0"/>
              <w:adjustRightInd w:val="0"/>
              <w:snapToGrid w:val="0"/>
              <w:spacing w:line="240" w:lineRule="auto"/>
              <w:ind w:firstLine="146" w:firstLineChars="50"/>
              <w:jc w:val="center"/>
              <w:textAlignment w:val="auto"/>
              <w:outlineLvl w:val="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序号</w:t>
            </w:r>
          </w:p>
        </w:tc>
        <w:tc>
          <w:tcPr>
            <w:tcW w:w="2370" w:type="dxa"/>
            <w:tcBorders>
              <w:top w:val="single" w:color="000000" w:sz="6" w:space="0"/>
              <w:left w:val="nil"/>
              <w:bottom w:val="single" w:color="000000" w:sz="6" w:space="0"/>
              <w:right w:val="single" w:color="000000" w:sz="6" w:space="0"/>
            </w:tcBorders>
            <w:shd w:val="clear" w:color="auto" w:fill="FFFFFF"/>
            <w:noWrap w:val="0"/>
            <w:tcMar>
              <w:left w:w="105" w:type="dxa"/>
              <w:bottom w:w="0" w:type="dxa"/>
              <w:right w:w="105" w:type="dxa"/>
            </w:tcMar>
            <w:vAlign w:val="center"/>
          </w:tcPr>
          <w:p w14:paraId="65464DAC">
            <w:pPr>
              <w:pStyle w:val="7"/>
              <w:keepNext w:val="0"/>
              <w:keepLines w:val="0"/>
              <w:pageBreakBefore w:val="0"/>
              <w:widowControl w:val="0"/>
              <w:kinsoku/>
              <w:wordWrap/>
              <w:overflowPunct/>
              <w:topLinePunct w:val="0"/>
              <w:autoSpaceDE/>
              <w:autoSpaceDN/>
              <w:bidi w:val="0"/>
              <w:adjustRightInd w:val="0"/>
              <w:snapToGrid w:val="0"/>
              <w:spacing w:line="240" w:lineRule="auto"/>
              <w:ind w:firstLine="146" w:firstLineChars="50"/>
              <w:jc w:val="center"/>
              <w:textAlignment w:val="auto"/>
              <w:outlineLvl w:val="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单位名称</w:t>
            </w:r>
          </w:p>
        </w:tc>
        <w:tc>
          <w:tcPr>
            <w:tcW w:w="2895" w:type="dxa"/>
            <w:tcBorders>
              <w:top w:val="single" w:color="000000" w:sz="6" w:space="0"/>
              <w:left w:val="nil"/>
              <w:bottom w:val="single" w:color="000000" w:sz="6" w:space="0"/>
              <w:right w:val="single" w:color="000000" w:sz="6" w:space="0"/>
            </w:tcBorders>
            <w:shd w:val="clear" w:color="auto" w:fill="FFFFFF"/>
            <w:noWrap w:val="0"/>
            <w:tcMar>
              <w:left w:w="0" w:type="dxa"/>
              <w:bottom w:w="0" w:type="dxa"/>
              <w:right w:w="0" w:type="dxa"/>
            </w:tcMar>
            <w:vAlign w:val="center"/>
          </w:tcPr>
          <w:p w14:paraId="4C9EDC3C">
            <w:pPr>
              <w:pStyle w:val="7"/>
              <w:keepNext w:val="0"/>
              <w:keepLines w:val="0"/>
              <w:pageBreakBefore w:val="0"/>
              <w:widowControl w:val="0"/>
              <w:kinsoku/>
              <w:wordWrap/>
              <w:overflowPunct/>
              <w:topLinePunct w:val="0"/>
              <w:autoSpaceDE/>
              <w:autoSpaceDN/>
              <w:bidi w:val="0"/>
              <w:adjustRightInd w:val="0"/>
              <w:snapToGrid w:val="0"/>
              <w:spacing w:line="240" w:lineRule="auto"/>
              <w:ind w:firstLine="146" w:firstLineChars="50"/>
              <w:jc w:val="center"/>
              <w:textAlignment w:val="auto"/>
              <w:outlineLvl w:val="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单位性质</w:t>
            </w:r>
          </w:p>
        </w:tc>
        <w:tc>
          <w:tcPr>
            <w:tcW w:w="1920" w:type="dxa"/>
            <w:tcBorders>
              <w:top w:val="single" w:color="000000" w:sz="6" w:space="0"/>
              <w:left w:val="nil"/>
              <w:bottom w:val="single" w:color="000000" w:sz="6" w:space="0"/>
              <w:right w:val="single" w:color="000000" w:sz="6" w:space="0"/>
            </w:tcBorders>
            <w:shd w:val="clear" w:color="auto" w:fill="FFFFFF"/>
            <w:noWrap w:val="0"/>
            <w:tcMar>
              <w:left w:w="0" w:type="dxa"/>
              <w:bottom w:w="0" w:type="dxa"/>
              <w:right w:w="0" w:type="dxa"/>
            </w:tcMar>
            <w:vAlign w:val="center"/>
          </w:tcPr>
          <w:p w14:paraId="28CAC8DF">
            <w:pPr>
              <w:pStyle w:val="7"/>
              <w:keepNext w:val="0"/>
              <w:keepLines w:val="0"/>
              <w:pageBreakBefore w:val="0"/>
              <w:widowControl w:val="0"/>
              <w:kinsoku/>
              <w:wordWrap/>
              <w:overflowPunct/>
              <w:topLinePunct w:val="0"/>
              <w:autoSpaceDE/>
              <w:autoSpaceDN/>
              <w:bidi w:val="0"/>
              <w:adjustRightInd w:val="0"/>
              <w:snapToGrid w:val="0"/>
              <w:spacing w:line="240" w:lineRule="auto"/>
              <w:ind w:firstLine="146" w:firstLineChars="50"/>
              <w:jc w:val="center"/>
              <w:textAlignment w:val="auto"/>
              <w:outlineLvl w:val="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备注</w:t>
            </w:r>
          </w:p>
        </w:tc>
      </w:tr>
      <w:tr w14:paraId="40BC0535">
        <w:tblPrEx>
          <w:tblCellMar>
            <w:top w:w="0" w:type="dxa"/>
            <w:left w:w="0" w:type="dxa"/>
            <w:bottom w:w="0" w:type="dxa"/>
            <w:right w:w="0" w:type="dxa"/>
          </w:tblCellMar>
        </w:tblPrEx>
        <w:trPr>
          <w:trHeight w:val="1640" w:hRule="atLeast"/>
        </w:trPr>
        <w:tc>
          <w:tcPr>
            <w:tcW w:w="1469" w:type="dxa"/>
            <w:tcBorders>
              <w:top w:val="nil"/>
              <w:left w:val="single" w:color="000000" w:sz="6" w:space="0"/>
              <w:bottom w:val="single" w:color="000000" w:sz="6" w:space="0"/>
              <w:right w:val="single" w:color="000000" w:sz="6" w:space="0"/>
            </w:tcBorders>
            <w:shd w:val="clear" w:color="auto" w:fill="FFFFFF"/>
            <w:noWrap w:val="0"/>
            <w:tcMar>
              <w:left w:w="105" w:type="dxa"/>
              <w:bottom w:w="0" w:type="dxa"/>
              <w:right w:w="105" w:type="dxa"/>
            </w:tcMar>
            <w:vAlign w:val="center"/>
          </w:tcPr>
          <w:p w14:paraId="102E2500">
            <w:pPr>
              <w:pStyle w:val="7"/>
              <w:keepNext w:val="0"/>
              <w:keepLines w:val="0"/>
              <w:pageBreakBefore w:val="0"/>
              <w:widowControl w:val="0"/>
              <w:kinsoku/>
              <w:wordWrap/>
              <w:overflowPunct/>
              <w:topLinePunct w:val="0"/>
              <w:autoSpaceDE/>
              <w:autoSpaceDN/>
              <w:bidi w:val="0"/>
              <w:adjustRightInd w:val="0"/>
              <w:snapToGrid w:val="0"/>
              <w:spacing w:line="240" w:lineRule="auto"/>
              <w:ind w:firstLine="146" w:firstLineChars="50"/>
              <w:jc w:val="center"/>
              <w:textAlignment w:val="auto"/>
              <w:outlineLvl w:val="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w:t>
            </w:r>
          </w:p>
        </w:tc>
        <w:tc>
          <w:tcPr>
            <w:tcW w:w="2370" w:type="dxa"/>
            <w:tcBorders>
              <w:top w:val="nil"/>
              <w:left w:val="nil"/>
              <w:bottom w:val="single" w:color="000000" w:sz="6" w:space="0"/>
              <w:right w:val="single" w:color="000000" w:sz="6" w:space="0"/>
            </w:tcBorders>
            <w:shd w:val="clear" w:color="auto" w:fill="FFFFFF"/>
            <w:noWrap w:val="0"/>
            <w:tcMar>
              <w:left w:w="105" w:type="dxa"/>
              <w:bottom w:w="0" w:type="dxa"/>
              <w:right w:w="105" w:type="dxa"/>
            </w:tcMar>
            <w:vAlign w:val="center"/>
          </w:tcPr>
          <w:p w14:paraId="57F23E94">
            <w:pPr>
              <w:pStyle w:val="7"/>
              <w:keepNext w:val="0"/>
              <w:keepLines w:val="0"/>
              <w:pageBreakBefore w:val="0"/>
              <w:widowControl w:val="0"/>
              <w:kinsoku/>
              <w:wordWrap/>
              <w:overflowPunct/>
              <w:topLinePunct w:val="0"/>
              <w:autoSpaceDE/>
              <w:autoSpaceDN/>
              <w:bidi w:val="0"/>
              <w:adjustRightInd w:val="0"/>
              <w:snapToGrid w:val="0"/>
              <w:spacing w:line="240" w:lineRule="auto"/>
              <w:ind w:firstLine="146" w:firstLineChars="50"/>
              <w:jc w:val="center"/>
              <w:textAlignment w:val="auto"/>
              <w:outlineLvl w:val="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br w:type="textWrapping"/>
            </w:r>
            <w:r>
              <w:rPr>
                <w:rFonts w:hint="eastAsia" w:ascii="仿宋" w:hAnsi="仿宋" w:eastAsia="仿宋" w:cs="仿宋"/>
                <w:bCs/>
                <w:sz w:val="28"/>
                <w:szCs w:val="28"/>
                <w:lang w:val="en-US" w:eastAsia="zh-CN"/>
              </w:rPr>
              <w:t>黄山市人大预算联网监督中心</w:t>
            </w:r>
          </w:p>
        </w:tc>
        <w:tc>
          <w:tcPr>
            <w:tcW w:w="2895" w:type="dxa"/>
            <w:tcBorders>
              <w:top w:val="nil"/>
              <w:left w:val="nil"/>
              <w:bottom w:val="single" w:color="000000" w:sz="6" w:space="0"/>
              <w:right w:val="single" w:color="000000" w:sz="6" w:space="0"/>
            </w:tcBorders>
            <w:shd w:val="clear" w:color="auto" w:fill="FFFFFF"/>
            <w:noWrap w:val="0"/>
            <w:tcMar>
              <w:left w:w="0" w:type="dxa"/>
              <w:bottom w:w="0" w:type="dxa"/>
              <w:right w:w="0" w:type="dxa"/>
            </w:tcMar>
            <w:vAlign w:val="center"/>
          </w:tcPr>
          <w:p w14:paraId="6FC03D2C">
            <w:pPr>
              <w:pStyle w:val="7"/>
              <w:keepNext w:val="0"/>
              <w:keepLines w:val="0"/>
              <w:pageBreakBefore w:val="0"/>
              <w:widowControl w:val="0"/>
              <w:kinsoku/>
              <w:wordWrap/>
              <w:overflowPunct/>
              <w:topLinePunct w:val="0"/>
              <w:autoSpaceDE/>
              <w:autoSpaceDN/>
              <w:bidi w:val="0"/>
              <w:adjustRightInd w:val="0"/>
              <w:snapToGrid w:val="0"/>
              <w:spacing w:line="240" w:lineRule="auto"/>
              <w:ind w:firstLine="146" w:firstLineChars="50"/>
              <w:jc w:val="center"/>
              <w:textAlignment w:val="auto"/>
              <w:outlineLvl w:val="0"/>
              <w:rPr>
                <w:rFonts w:hint="eastAsia" w:ascii="仿宋" w:hAnsi="仿宋" w:eastAsia="仿宋" w:cs="仿宋"/>
                <w:bCs/>
                <w:sz w:val="28"/>
                <w:szCs w:val="28"/>
                <w:lang w:val="en-US" w:eastAsia="zh-CN"/>
              </w:rPr>
            </w:pPr>
          </w:p>
          <w:p w14:paraId="3DEAC30F">
            <w:pPr>
              <w:pStyle w:val="7"/>
              <w:keepNext w:val="0"/>
              <w:keepLines w:val="0"/>
              <w:pageBreakBefore w:val="0"/>
              <w:widowControl w:val="0"/>
              <w:kinsoku/>
              <w:wordWrap/>
              <w:overflowPunct/>
              <w:topLinePunct w:val="0"/>
              <w:autoSpaceDE/>
              <w:autoSpaceDN/>
              <w:bidi w:val="0"/>
              <w:adjustRightInd w:val="0"/>
              <w:snapToGrid w:val="0"/>
              <w:spacing w:line="240" w:lineRule="auto"/>
              <w:ind w:firstLine="146" w:firstLineChars="50"/>
              <w:jc w:val="center"/>
              <w:textAlignment w:val="auto"/>
              <w:outlineLvl w:val="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公益一类事业单位</w:t>
            </w:r>
          </w:p>
          <w:p w14:paraId="524DAC57">
            <w:pPr>
              <w:pStyle w:val="7"/>
              <w:keepNext w:val="0"/>
              <w:keepLines w:val="0"/>
              <w:pageBreakBefore w:val="0"/>
              <w:widowControl w:val="0"/>
              <w:kinsoku/>
              <w:wordWrap/>
              <w:overflowPunct/>
              <w:topLinePunct w:val="0"/>
              <w:autoSpaceDE/>
              <w:autoSpaceDN/>
              <w:bidi w:val="0"/>
              <w:adjustRightInd w:val="0"/>
              <w:snapToGrid w:val="0"/>
              <w:spacing w:line="240" w:lineRule="auto"/>
              <w:ind w:firstLine="146" w:firstLineChars="50"/>
              <w:jc w:val="center"/>
              <w:textAlignment w:val="auto"/>
              <w:outlineLvl w:val="0"/>
              <w:rPr>
                <w:rFonts w:hint="eastAsia" w:ascii="仿宋" w:hAnsi="仿宋" w:eastAsia="仿宋" w:cs="仿宋"/>
                <w:bCs/>
                <w:sz w:val="28"/>
                <w:szCs w:val="28"/>
                <w:lang w:val="en-US" w:eastAsia="zh-CN"/>
              </w:rPr>
            </w:pPr>
          </w:p>
        </w:tc>
        <w:tc>
          <w:tcPr>
            <w:tcW w:w="1920" w:type="dxa"/>
            <w:tcBorders>
              <w:top w:val="nil"/>
              <w:left w:val="nil"/>
              <w:bottom w:val="single" w:color="000000" w:sz="6" w:space="0"/>
              <w:right w:val="single" w:color="000000" w:sz="6" w:space="0"/>
            </w:tcBorders>
            <w:shd w:val="clear" w:color="auto" w:fill="FFFFFF"/>
            <w:noWrap w:val="0"/>
            <w:tcMar>
              <w:left w:w="0" w:type="dxa"/>
              <w:bottom w:w="0" w:type="dxa"/>
              <w:right w:w="0" w:type="dxa"/>
            </w:tcMar>
            <w:vAlign w:val="center"/>
          </w:tcPr>
          <w:p w14:paraId="5FD3055E">
            <w:pPr>
              <w:pStyle w:val="7"/>
              <w:keepNext w:val="0"/>
              <w:keepLines w:val="0"/>
              <w:pageBreakBefore w:val="0"/>
              <w:widowControl w:val="0"/>
              <w:kinsoku/>
              <w:wordWrap/>
              <w:overflowPunct/>
              <w:topLinePunct w:val="0"/>
              <w:autoSpaceDE/>
              <w:autoSpaceDN/>
              <w:bidi w:val="0"/>
              <w:adjustRightInd w:val="0"/>
              <w:snapToGrid w:val="0"/>
              <w:spacing w:line="240" w:lineRule="auto"/>
              <w:ind w:firstLine="146" w:firstLineChars="50"/>
              <w:jc w:val="center"/>
              <w:textAlignment w:val="auto"/>
              <w:outlineLvl w:val="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独立核算</w:t>
            </w:r>
          </w:p>
        </w:tc>
      </w:tr>
    </w:tbl>
    <w:p w14:paraId="547D6480">
      <w:pPr>
        <w:pStyle w:val="7"/>
        <w:keepNext w:val="0"/>
        <w:keepLines w:val="0"/>
        <w:pageBreakBefore w:val="0"/>
        <w:kinsoku/>
        <w:overflowPunct/>
        <w:topLinePunct w:val="0"/>
        <w:autoSpaceDE/>
        <w:autoSpaceDN/>
        <w:bidi w:val="0"/>
        <w:adjustRightInd w:val="0"/>
        <w:snapToGrid w:val="0"/>
        <w:spacing w:line="560" w:lineRule="exact"/>
        <w:ind w:firstLine="664" w:firstLineChars="200"/>
        <w:outlineLvl w:val="0"/>
        <w:rPr>
          <w:rFonts w:hint="default" w:ascii="TimesNewRoman" w:hAnsi="TimesNewRoman" w:eastAsia="仿宋_GB2312" w:cs="TimesNewRoman"/>
          <w:bCs/>
          <w:sz w:val="32"/>
          <w:szCs w:val="32"/>
          <w:lang w:val="en-US" w:eastAsia="zh-CN"/>
        </w:rPr>
      </w:pPr>
      <w:r>
        <w:rPr>
          <w:rFonts w:hint="eastAsia" w:ascii="Times New Roman" w:hAnsi="Times New Roman" w:eastAsia="仿宋_GB2312" w:cs="Times New Roman"/>
          <w:kern w:val="2"/>
          <w:sz w:val="32"/>
          <w:szCs w:val="32"/>
          <w:shd w:val="clear" w:color="auto" w:fill="FFFFFF"/>
          <w:lang w:val="en-US" w:eastAsia="zh-CN" w:bidi="ar-SA"/>
        </w:rPr>
        <w:t>截至</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w:t>
      </w:r>
      <w:r>
        <w:rPr>
          <w:rFonts w:hint="default" w:ascii="Times New Roman" w:hAnsi="Times New Roman" w:eastAsia="仿宋_GB2312" w:cs="Times New Roman"/>
          <w:kern w:val="2"/>
          <w:sz w:val="32"/>
          <w:szCs w:val="32"/>
          <w:shd w:val="clear" w:color="auto" w:fill="FFFFFF"/>
          <w:lang w:val="en-US" w:eastAsia="zh-CN" w:bidi="ar-SA"/>
        </w:rPr>
        <w:t>12</w:t>
      </w:r>
      <w:r>
        <w:rPr>
          <w:rFonts w:hint="eastAsia" w:ascii="Times New Roman" w:hAnsi="Times New Roman" w:eastAsia="仿宋_GB2312" w:cs="Times New Roman"/>
          <w:kern w:val="2"/>
          <w:sz w:val="32"/>
          <w:szCs w:val="32"/>
          <w:shd w:val="clear" w:color="auto" w:fill="FFFFFF"/>
          <w:lang w:val="en-US" w:eastAsia="zh-CN" w:bidi="ar-SA"/>
        </w:rPr>
        <w:t>月</w:t>
      </w:r>
      <w:r>
        <w:rPr>
          <w:rFonts w:hint="default" w:ascii="Times New Roman" w:hAnsi="Times New Roman" w:eastAsia="仿宋_GB2312" w:cs="Times New Roman"/>
          <w:kern w:val="2"/>
          <w:sz w:val="32"/>
          <w:szCs w:val="32"/>
          <w:shd w:val="clear" w:color="auto" w:fill="FFFFFF"/>
          <w:lang w:val="en-US" w:eastAsia="zh-CN" w:bidi="ar-SA"/>
        </w:rPr>
        <w:t>31</w:t>
      </w:r>
      <w:r>
        <w:rPr>
          <w:rFonts w:hint="eastAsia" w:ascii="Times New Roman" w:hAnsi="Times New Roman" w:eastAsia="仿宋_GB2312" w:cs="Times New Roman"/>
          <w:kern w:val="2"/>
          <w:sz w:val="32"/>
          <w:szCs w:val="32"/>
          <w:shd w:val="clear" w:color="auto" w:fill="FFFFFF"/>
          <w:lang w:val="en-US" w:eastAsia="zh-CN" w:bidi="ar-SA"/>
        </w:rPr>
        <w:t>日，黄山市人大预算联网监督中心实有各类人员4人，均为在职4人</w:t>
      </w:r>
      <w:r>
        <w:rPr>
          <w:rFonts w:hint="eastAsia" w:ascii="TimesNewRoman" w:hAnsi="TimesNewRoman" w:eastAsia="仿宋_GB2312" w:cs="TimesNewRoman"/>
          <w:bCs/>
          <w:sz w:val="32"/>
          <w:szCs w:val="32"/>
          <w:lang w:val="en-US" w:eastAsia="zh-CN"/>
        </w:rPr>
        <w:t>。</w:t>
      </w:r>
    </w:p>
    <w:p w14:paraId="5F85B5F9">
      <w:pPr>
        <w:pStyle w:val="7"/>
        <w:keepNext w:val="0"/>
        <w:keepLines w:val="0"/>
        <w:pageBreakBefore w:val="0"/>
        <w:widowControl/>
        <w:tabs>
          <w:tab w:val="right" w:pos="8691"/>
        </w:tabs>
        <w:kinsoku/>
        <w:wordWrap/>
        <w:overflowPunct/>
        <w:topLinePunct w:val="0"/>
        <w:autoSpaceDE/>
        <w:autoSpaceDN/>
        <w:bidi w:val="0"/>
        <w:adjustRightInd w:val="0"/>
        <w:snapToGrid w:val="0"/>
        <w:spacing w:before="0" w:beforeAutospacing="0" w:after="0" w:afterAutospacing="0" w:line="560" w:lineRule="atLeast"/>
        <w:ind w:firstLine="650" w:firstLineChars="196"/>
        <w:jc w:val="both"/>
        <w:textAlignment w:val="auto"/>
        <w:rPr>
          <w:rFonts w:hint="default" w:ascii="Times New Roman" w:hAnsi="Times New Roman" w:eastAsia="黑体" w:cs="Times New Roman"/>
          <w:color w:val="333333"/>
          <w:kern w:val="0"/>
          <w:sz w:val="32"/>
          <w:szCs w:val="32"/>
          <w:shd w:val="clear" w:color="auto" w:fill="FFFFFF"/>
          <w:lang w:val="en-US" w:eastAsia="zh-CN"/>
        </w:rPr>
      </w:pPr>
      <w:r>
        <w:rPr>
          <w:rFonts w:hint="default" w:ascii="Times New Roman" w:hAnsi="Times New Roman" w:eastAsia="黑体" w:cs="Times New Roman"/>
          <w:color w:val="333333"/>
          <w:kern w:val="0"/>
          <w:sz w:val="32"/>
          <w:szCs w:val="32"/>
          <w:shd w:val="clear" w:color="auto" w:fill="FFFFFF"/>
          <w:lang w:val="en-US" w:eastAsia="zh-CN"/>
        </w:rPr>
        <w:t>三、</w:t>
      </w:r>
      <w:r>
        <w:rPr>
          <w:rFonts w:hint="default" w:ascii="Times New Roman" w:hAnsi="Times New Roman" w:eastAsia="黑体" w:cs="Times New Roman"/>
          <w:color w:val="333333"/>
          <w:kern w:val="0"/>
          <w:sz w:val="32"/>
          <w:szCs w:val="32"/>
          <w:shd w:val="clear" w:color="auto" w:fill="FFFFFF"/>
          <w:lang w:val="en" w:eastAsia="zh-CN"/>
        </w:rPr>
        <w:t>2024</w:t>
      </w:r>
      <w:r>
        <w:rPr>
          <w:rFonts w:hint="default" w:ascii="Times New Roman" w:hAnsi="Times New Roman" w:eastAsia="黑体" w:cs="Times New Roman"/>
          <w:color w:val="333333"/>
          <w:kern w:val="0"/>
          <w:sz w:val="32"/>
          <w:szCs w:val="32"/>
          <w:shd w:val="clear" w:color="auto" w:fill="FFFFFF"/>
          <w:lang w:val="en-US" w:eastAsia="zh-CN"/>
        </w:rPr>
        <w:t>年度主要工作任务</w:t>
      </w:r>
    </w:p>
    <w:p w14:paraId="4FF14EBC">
      <w:pPr>
        <w:pStyle w:val="7"/>
        <w:keepNext w:val="0"/>
        <w:keepLines w:val="0"/>
        <w:pageBreakBefore w:val="0"/>
        <w:kinsoku/>
        <w:wordWrap/>
        <w:overflowPunct/>
        <w:topLinePunct w:val="0"/>
        <w:autoSpaceDE/>
        <w:autoSpaceDN/>
        <w:bidi w:val="0"/>
        <w:adjustRightInd w:val="0"/>
        <w:snapToGrid w:val="0"/>
        <w:spacing w:line="560" w:lineRule="atLeast"/>
        <w:ind w:firstLine="498" w:firstLineChars="150"/>
        <w:textAlignment w:val="auto"/>
        <w:outlineLvl w:val="0"/>
        <w:rPr>
          <w:rFonts w:hint="default" w:ascii="Times New Roman" w:hAnsi="Times New Roman" w:eastAsia="仿宋_GB2312" w:cs="Times New Roman"/>
          <w:kern w:val="2"/>
          <w:sz w:val="32"/>
          <w:szCs w:val="32"/>
          <w:shd w:val="clear" w:color="auto" w:fill="FFFFFF"/>
          <w:lang w:val="en-US" w:eastAsia="zh-CN" w:bidi="ar-SA"/>
        </w:rPr>
      </w:pPr>
      <w:r>
        <w:rPr>
          <w:rFonts w:hint="eastAsia" w:ascii="Times New Roman" w:hAnsi="Times New Roman" w:eastAsia="仿宋_GB2312" w:cs="Times New Roman"/>
          <w:kern w:val="2"/>
          <w:sz w:val="32"/>
          <w:szCs w:val="32"/>
          <w:shd w:val="clear" w:color="auto" w:fill="FFFFFF"/>
          <w:lang w:val="en-US" w:eastAsia="zh-CN" w:bidi="ar-SA"/>
        </w:rPr>
        <w:t>（一）做好市人大预算联网监督系统的查询和日常运行管理、数据分析整理、预警反馈、汇总审核、监督监测等信息服务。</w:t>
      </w:r>
    </w:p>
    <w:p w14:paraId="009B70AE">
      <w:pPr>
        <w:pStyle w:val="7"/>
        <w:keepNext w:val="0"/>
        <w:keepLines w:val="0"/>
        <w:pageBreakBefore w:val="0"/>
        <w:kinsoku/>
        <w:wordWrap/>
        <w:overflowPunct/>
        <w:topLinePunct w:val="0"/>
        <w:autoSpaceDE/>
        <w:autoSpaceDN/>
        <w:bidi w:val="0"/>
        <w:adjustRightInd w:val="0"/>
        <w:snapToGrid w:val="0"/>
        <w:spacing w:line="560" w:lineRule="atLeast"/>
        <w:ind w:firstLine="498" w:firstLineChars="150"/>
        <w:textAlignment w:val="auto"/>
        <w:outlineLvl w:val="0"/>
        <w:rPr>
          <w:rFonts w:hint="default" w:ascii="Times New Roman" w:hAnsi="Times New Roman" w:eastAsia="仿宋_GB2312" w:cs="Times New Roman"/>
          <w:kern w:val="2"/>
          <w:sz w:val="32"/>
          <w:szCs w:val="32"/>
          <w:shd w:val="clear" w:color="auto" w:fill="FFFFFF"/>
          <w:lang w:val="en-US" w:eastAsia="zh-CN" w:bidi="ar-SA"/>
        </w:rPr>
      </w:pPr>
      <w:r>
        <w:rPr>
          <w:rFonts w:hint="eastAsia" w:ascii="Times New Roman" w:hAnsi="Times New Roman" w:eastAsia="仿宋_GB2312" w:cs="Times New Roman"/>
          <w:kern w:val="2"/>
          <w:sz w:val="32"/>
          <w:szCs w:val="32"/>
          <w:shd w:val="clear" w:color="auto" w:fill="FFFFFF"/>
          <w:lang w:val="en-US" w:eastAsia="zh-CN" w:bidi="ar-SA"/>
        </w:rPr>
        <w:t>（二）做好市人大机关的信息化与网络建设、门户网站管理、网络信息安全等技术服务。</w:t>
      </w:r>
    </w:p>
    <w:p w14:paraId="3D4B50EA">
      <w:pPr>
        <w:pStyle w:val="7"/>
        <w:keepNext w:val="0"/>
        <w:keepLines w:val="0"/>
        <w:pageBreakBefore w:val="0"/>
        <w:widowControl/>
        <w:kinsoku/>
        <w:wordWrap/>
        <w:overflowPunct/>
        <w:topLinePunct w:val="0"/>
        <w:autoSpaceDE/>
        <w:autoSpaceDN/>
        <w:bidi w:val="0"/>
        <w:spacing w:before="0" w:beforeAutospacing="0" w:after="0" w:afterAutospacing="0" w:line="560" w:lineRule="atLeast"/>
        <w:ind w:firstLine="332" w:firstLineChars="100"/>
        <w:jc w:val="center"/>
        <w:textAlignment w:val="auto"/>
        <w:rPr>
          <w:rFonts w:hint="default" w:ascii="Times New Roman" w:hAnsi="Times New Roman" w:eastAsia="仿宋_GB2312" w:cs="Times New Roman"/>
          <w:kern w:val="2"/>
          <w:sz w:val="32"/>
          <w:szCs w:val="32"/>
          <w:shd w:val="clear" w:color="auto" w:fill="FFFFFF"/>
          <w:lang w:val="en-US" w:eastAsia="zh-CN" w:bidi="ar-SA"/>
        </w:rPr>
      </w:pPr>
    </w:p>
    <w:p w14:paraId="15D2F56E">
      <w:pPr>
        <w:pStyle w:val="7"/>
        <w:widowControl/>
        <w:spacing w:before="0" w:beforeAutospacing="0" w:after="0" w:afterAutospacing="0" w:line="555" w:lineRule="atLeast"/>
        <w:ind w:firstLine="372" w:firstLineChars="100"/>
        <w:jc w:val="center"/>
        <w:rPr>
          <w:rFonts w:hint="default" w:ascii="Times New Roman" w:hAnsi="Times New Roman" w:eastAsia="黑体" w:cs="Times New Roman"/>
          <w:color w:val="333333"/>
          <w:kern w:val="0"/>
          <w:sz w:val="36"/>
          <w:szCs w:val="36"/>
          <w:shd w:val="clear" w:color="auto" w:fill="FFFFFF"/>
        </w:rPr>
      </w:pPr>
      <w:r>
        <w:rPr>
          <w:rFonts w:hint="default" w:ascii="Times New Roman" w:hAnsi="Times New Roman" w:eastAsia="黑体" w:cs="Times New Roman"/>
          <w:color w:val="333333"/>
          <w:kern w:val="0"/>
          <w:sz w:val="36"/>
          <w:szCs w:val="36"/>
          <w:shd w:val="clear" w:color="auto" w:fill="FFFFFF"/>
        </w:rPr>
        <w:t xml:space="preserve">第二部分 </w:t>
      </w:r>
      <w:r>
        <w:rPr>
          <w:rFonts w:hint="default" w:ascii="Times New Roman" w:hAnsi="Times New Roman" w:eastAsia="黑体" w:cs="Times New Roman"/>
          <w:color w:val="333333"/>
          <w:kern w:val="0"/>
          <w:sz w:val="36"/>
          <w:szCs w:val="36"/>
          <w:shd w:val="clear" w:color="auto" w:fill="FFFFFF"/>
          <w:lang w:val="en"/>
        </w:rPr>
        <w:t>2024</w:t>
      </w:r>
      <w:r>
        <w:rPr>
          <w:rFonts w:hint="default" w:ascii="Times New Roman" w:hAnsi="Times New Roman" w:eastAsia="黑体" w:cs="Times New Roman"/>
          <w:color w:val="333333"/>
          <w:kern w:val="0"/>
          <w:sz w:val="36"/>
          <w:szCs w:val="36"/>
          <w:shd w:val="clear" w:color="auto" w:fill="FFFFFF"/>
        </w:rPr>
        <w:t>年</w:t>
      </w:r>
      <w:r>
        <w:rPr>
          <w:rFonts w:hint="eastAsia" w:ascii="Times New Roman" w:hAnsi="Times New Roman" w:eastAsia="黑体" w:cs="Times New Roman"/>
          <w:color w:val="333333"/>
          <w:kern w:val="0"/>
          <w:sz w:val="36"/>
          <w:szCs w:val="36"/>
          <w:shd w:val="clear" w:color="auto" w:fill="FFFFFF"/>
          <w:lang w:val="en-US" w:eastAsia="zh-CN"/>
        </w:rPr>
        <w:t>黄山市人大预算联网监督中心</w:t>
      </w:r>
      <w:r>
        <w:rPr>
          <w:rFonts w:hint="default" w:ascii="Times New Roman" w:hAnsi="Times New Roman" w:eastAsia="黑体" w:cs="Times New Roman"/>
          <w:color w:val="333333"/>
          <w:kern w:val="0"/>
          <w:sz w:val="36"/>
          <w:szCs w:val="36"/>
          <w:shd w:val="clear" w:color="auto" w:fill="FFFFFF"/>
        </w:rPr>
        <w:t>预算表</w:t>
      </w:r>
    </w:p>
    <w:p w14:paraId="7D3EAC50">
      <w:pPr>
        <w:pStyle w:val="17"/>
        <w:ind w:left="0" w:leftChars="0" w:firstLine="664" w:firstLineChars="200"/>
        <w:rPr>
          <w:rFonts w:hint="eastAsia" w:ascii="Arial" w:hAnsi="Arial" w:eastAsia="仿宋_GB2312" w:cs="Arial"/>
          <w:i w:val="0"/>
          <w:iCs w:val="0"/>
          <w:color w:val="000000"/>
          <w:sz w:val="20"/>
          <w:szCs w:val="20"/>
          <w:u w:val="none"/>
          <w:lang w:eastAsia="zh-CN"/>
        </w:rPr>
        <w:sectPr>
          <w:footerReference r:id="rId7" w:type="default"/>
          <w:pgSz w:w="11906"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437" w:charSpace="2555"/>
        </w:sectPr>
      </w:pPr>
      <w:r>
        <w:rPr>
          <w:shd w:val="clear" w:color="auto" w:fill="FFFFFF"/>
        </w:rPr>
        <w:t>黄山市</w:t>
      </w:r>
      <w:r>
        <w:rPr>
          <w:rFonts w:hint="eastAsia"/>
          <w:shd w:val="clear" w:color="auto" w:fill="FFFFFF"/>
          <w:lang w:val="en-US" w:eastAsia="zh-CN"/>
        </w:rPr>
        <w:t>人大预算联网监督中心</w:t>
      </w:r>
      <w:r>
        <w:rPr>
          <w:shd w:val="clear" w:color="auto" w:fill="FFFFFF"/>
          <w:lang w:val="en"/>
        </w:rPr>
        <w:t>2024</w:t>
      </w:r>
      <w:r>
        <w:rPr>
          <w:shd w:val="clear" w:color="auto" w:fill="FFFFFF"/>
        </w:rPr>
        <w:t>年</w:t>
      </w:r>
      <w:r>
        <w:rPr>
          <w:rFonts w:hint="eastAsia"/>
          <w:shd w:val="clear" w:color="auto" w:fill="FFFFFF"/>
          <w:lang w:val="en-US" w:eastAsia="zh-CN"/>
        </w:rPr>
        <w:t>单位</w:t>
      </w:r>
      <w:r>
        <w:rPr>
          <w:shd w:val="clear" w:color="auto" w:fill="FFFFFF"/>
        </w:rPr>
        <w:t>预算表由1</w:t>
      </w:r>
      <w:r>
        <w:rPr>
          <w:rFonts w:hint="eastAsia"/>
          <w:shd w:val="clear" w:color="auto" w:fill="FFFFFF"/>
        </w:rPr>
        <w:t>4</w:t>
      </w:r>
      <w:r>
        <w:rPr>
          <w:shd w:val="clear" w:color="auto" w:fill="FFFFFF"/>
        </w:rPr>
        <w:t>张表格构成，具体</w:t>
      </w:r>
      <w:r>
        <w:rPr>
          <w:rFonts w:hint="eastAsia"/>
          <w:shd w:val="clear" w:color="auto" w:fill="FFFFFF"/>
        </w:rPr>
        <w:t>内容如下</w:t>
      </w:r>
      <w:r>
        <w:rPr>
          <w:rFonts w:hint="eastAsia"/>
          <w:shd w:val="clear" w:color="auto" w:fill="FFFFFF"/>
          <w:lang w:eastAsia="zh-CN"/>
        </w:rPr>
        <w:t>。</w:t>
      </w:r>
    </w:p>
    <w:tbl>
      <w:tblPr>
        <w:tblStyle w:val="8"/>
        <w:tblW w:w="23911" w:type="dxa"/>
        <w:tblInd w:w="-4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2"/>
        <w:gridCol w:w="1545"/>
        <w:gridCol w:w="3404"/>
        <w:gridCol w:w="1725"/>
        <w:gridCol w:w="1725"/>
        <w:gridCol w:w="1725"/>
        <w:gridCol w:w="1725"/>
      </w:tblGrid>
      <w:tr w14:paraId="65A1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12062" w:type="dxa"/>
            <w:tcBorders>
              <w:top w:val="nil"/>
              <w:left w:val="nil"/>
              <w:bottom w:val="nil"/>
              <w:right w:val="nil"/>
            </w:tcBorders>
            <w:shd w:val="clear" w:color="auto" w:fill="auto"/>
            <w:noWrap/>
            <w:vAlign w:val="bottom"/>
          </w:tcPr>
          <w:p w14:paraId="12EFCD65">
            <w:pPr>
              <w:rPr>
                <w:rFonts w:hint="eastAsia" w:ascii="Arial" w:hAnsi="Arial" w:cs="Arial"/>
                <w:i w:val="0"/>
                <w:iCs w:val="0"/>
                <w:color w:val="000000"/>
                <w:sz w:val="20"/>
                <w:szCs w:val="20"/>
                <w:u w:val="none"/>
              </w:rPr>
            </w:pPr>
          </w:p>
          <w:p w14:paraId="315A44CD">
            <w:pPr>
              <w:rPr>
                <w:rFonts w:hint="eastAsia" w:ascii="Arial" w:hAnsi="Arial" w:cs="Arial"/>
                <w:i w:val="0"/>
                <w:iCs w:val="0"/>
                <w:color w:val="000000"/>
                <w:sz w:val="20"/>
                <w:szCs w:val="20"/>
                <w:u w:val="none"/>
              </w:rPr>
            </w:pPr>
          </w:p>
          <w:p w14:paraId="236D8C77">
            <w:pPr>
              <w:rPr>
                <w:rFonts w:hint="eastAsia" w:ascii="Arial" w:hAnsi="Arial" w:eastAsia="仿宋_GB2312" w:cs="Arial"/>
                <w:i w:val="0"/>
                <w:iCs w:val="0"/>
                <w:color w:val="000000"/>
                <w:sz w:val="20"/>
                <w:szCs w:val="20"/>
                <w:u w:val="none"/>
                <w:lang w:eastAsia="zh-CN"/>
              </w:rPr>
            </w:pPr>
            <w:r>
              <w:rPr>
                <w:rFonts w:hint="eastAsia" w:ascii="Arial" w:hAnsi="Arial" w:eastAsia="仿宋_GB2312" w:cs="Arial"/>
                <w:i w:val="0"/>
                <w:iCs w:val="0"/>
                <w:color w:val="000000"/>
                <w:sz w:val="20"/>
                <w:szCs w:val="20"/>
                <w:u w:val="none"/>
                <w:lang w:eastAsia="zh-CN"/>
              </w:rPr>
              <w:fldChar w:fldCharType="begin"/>
            </w:r>
            <w:r>
              <w:instrText xml:space="preserve"> LINK Excel.Sheet.8 "C:\\Users\\apple\\Desktop\\2024年预算公开\\预算中心\\黄山市2024年部门预算公开表（包含结转）_(003002)黄山市人大预算联网监督中心.xls" "表一、收支预算总表!R1C1:R45C4" \h \a </w:instrText>
            </w:r>
            <w:r>
              <w:rPr>
                <w:rFonts w:hint="eastAsia" w:ascii="Arial" w:hAnsi="Arial" w:eastAsia="仿宋_GB2312" w:cs="Arial"/>
                <w:i w:val="0"/>
                <w:iCs w:val="0"/>
                <w:color w:val="000000"/>
                <w:sz w:val="20"/>
                <w:szCs w:val="20"/>
                <w:u w:val="none"/>
                <w:lang w:eastAsia="zh-CN"/>
              </w:rPr>
              <w:fldChar w:fldCharType="separate"/>
            </w:r>
          </w:p>
          <w:tbl>
            <w:tblPr>
              <w:tblStyle w:val="8"/>
              <w:tblW w:w="930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00"/>
              <w:gridCol w:w="1305"/>
              <w:gridCol w:w="3390"/>
              <w:gridCol w:w="1605"/>
            </w:tblGrid>
            <w:tr w14:paraId="260C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00" w:type="dxa"/>
                  <w:tcBorders>
                    <w:top w:val="nil"/>
                    <w:left w:val="nil"/>
                    <w:bottom w:val="nil"/>
                    <w:right w:val="nil"/>
                  </w:tcBorders>
                  <w:shd w:val="clear" w:color="auto" w:fill="auto"/>
                  <w:noWrap/>
                  <w:vAlign w:val="bottom"/>
                </w:tcPr>
                <w:p w14:paraId="529951D4">
                  <w:pPr>
                    <w:rPr>
                      <w:rFonts w:hint="eastAsia" w:ascii="Arial" w:hAnsi="Arial" w:cs="Arial"/>
                      <w:i w:val="0"/>
                      <w:iCs w:val="0"/>
                      <w:color w:val="000000"/>
                      <w:sz w:val="20"/>
                      <w:szCs w:val="20"/>
                      <w:u w:val="none"/>
                    </w:rPr>
                  </w:pPr>
                </w:p>
              </w:tc>
              <w:tc>
                <w:tcPr>
                  <w:tcW w:w="1305" w:type="dxa"/>
                  <w:tcBorders>
                    <w:top w:val="nil"/>
                    <w:left w:val="nil"/>
                    <w:bottom w:val="nil"/>
                    <w:right w:val="nil"/>
                  </w:tcBorders>
                  <w:shd w:val="clear" w:color="auto" w:fill="auto"/>
                  <w:noWrap/>
                  <w:vAlign w:val="bottom"/>
                </w:tcPr>
                <w:p w14:paraId="76FA306F">
                  <w:pPr>
                    <w:jc w:val="center"/>
                    <w:rPr>
                      <w:rFonts w:hint="eastAsia" w:ascii="Calibri" w:hAnsi="Calibri" w:cs="Calibri"/>
                      <w:i w:val="0"/>
                      <w:iCs w:val="0"/>
                      <w:color w:val="000000"/>
                      <w:sz w:val="22"/>
                      <w:szCs w:val="22"/>
                      <w:u w:val="none"/>
                    </w:rPr>
                  </w:pPr>
                </w:p>
              </w:tc>
              <w:tc>
                <w:tcPr>
                  <w:tcW w:w="3390" w:type="dxa"/>
                  <w:tcBorders>
                    <w:top w:val="nil"/>
                    <w:left w:val="nil"/>
                    <w:bottom w:val="nil"/>
                    <w:right w:val="nil"/>
                  </w:tcBorders>
                  <w:shd w:val="clear" w:color="auto" w:fill="auto"/>
                  <w:noWrap/>
                  <w:vAlign w:val="bottom"/>
                </w:tcPr>
                <w:p w14:paraId="43EF08FD">
                  <w:pPr>
                    <w:rPr>
                      <w:rFonts w:hint="default" w:ascii="Arial" w:hAnsi="Arial" w:cs="Arial"/>
                      <w:i w:val="0"/>
                      <w:iCs w:val="0"/>
                      <w:color w:val="000000"/>
                      <w:sz w:val="20"/>
                      <w:szCs w:val="20"/>
                      <w:u w:val="none"/>
                    </w:rPr>
                  </w:pPr>
                </w:p>
              </w:tc>
              <w:tc>
                <w:tcPr>
                  <w:tcW w:w="1605" w:type="dxa"/>
                  <w:tcBorders>
                    <w:top w:val="nil"/>
                    <w:left w:val="nil"/>
                    <w:bottom w:val="nil"/>
                    <w:right w:val="nil"/>
                  </w:tcBorders>
                  <w:shd w:val="clear" w:color="auto" w:fill="auto"/>
                  <w:noWrap/>
                  <w:vAlign w:val="center"/>
                </w:tcPr>
                <w:p w14:paraId="291E5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单位公开表1</w:t>
                  </w:r>
                </w:p>
              </w:tc>
            </w:tr>
            <w:tr w14:paraId="6210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4"/>
                  <w:tcBorders>
                    <w:top w:val="nil"/>
                    <w:left w:val="nil"/>
                    <w:bottom w:val="nil"/>
                    <w:right w:val="nil"/>
                  </w:tcBorders>
                  <w:shd w:val="clear" w:color="auto" w:fill="auto"/>
                  <w:noWrap/>
                  <w:vAlign w:val="center"/>
                </w:tcPr>
                <w:p w14:paraId="155DF87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表一、2024年收支总表</w:t>
                  </w:r>
                </w:p>
              </w:tc>
            </w:tr>
            <w:tr w14:paraId="4906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24EC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0" w:type="auto"/>
                  <w:tcBorders>
                    <w:top w:val="nil"/>
                    <w:left w:val="nil"/>
                    <w:bottom w:val="nil"/>
                    <w:right w:val="nil"/>
                  </w:tcBorders>
                  <w:shd w:val="clear" w:color="auto" w:fill="FFFFFF"/>
                  <w:noWrap/>
                  <w:vAlign w:val="center"/>
                </w:tcPr>
                <w:p w14:paraId="1C776538">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934710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7B90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471A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6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241E9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22BF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D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B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AD0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1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14:paraId="0555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DA8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一、一般公共预算收入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3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B1B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4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46.32</w:t>
                  </w:r>
                </w:p>
              </w:tc>
            </w:tr>
            <w:tr w14:paraId="0BC0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42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二、政府性基金预算收入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2C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B1FC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22FE">
                  <w:pPr>
                    <w:jc w:val="center"/>
                    <w:rPr>
                      <w:rFonts w:hint="eastAsia" w:ascii="宋体" w:hAnsi="宋体" w:eastAsia="宋体" w:cs="宋体"/>
                      <w:i w:val="0"/>
                      <w:iCs w:val="0"/>
                      <w:color w:val="000000"/>
                      <w:sz w:val="18"/>
                      <w:szCs w:val="18"/>
                      <w:u w:val="none"/>
                    </w:rPr>
                  </w:pPr>
                </w:p>
              </w:tc>
            </w:tr>
            <w:tr w14:paraId="2939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1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三、国有资本经营预算拨款收入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30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BE27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F576">
                  <w:pPr>
                    <w:jc w:val="center"/>
                    <w:rPr>
                      <w:rFonts w:hint="eastAsia" w:ascii="宋体" w:hAnsi="宋体" w:eastAsia="宋体" w:cs="宋体"/>
                      <w:i w:val="0"/>
                      <w:iCs w:val="0"/>
                      <w:color w:val="000000"/>
                      <w:sz w:val="18"/>
                      <w:szCs w:val="18"/>
                      <w:u w:val="none"/>
                    </w:rPr>
                  </w:pPr>
                </w:p>
              </w:tc>
            </w:tr>
            <w:tr w14:paraId="7BF9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FD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四、财政专户管理资金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C9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FA0E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245A">
                  <w:pPr>
                    <w:jc w:val="center"/>
                    <w:rPr>
                      <w:rFonts w:hint="eastAsia" w:ascii="宋体" w:hAnsi="宋体" w:eastAsia="宋体" w:cs="宋体"/>
                      <w:i w:val="0"/>
                      <w:iCs w:val="0"/>
                      <w:color w:val="000000"/>
                      <w:sz w:val="18"/>
                      <w:szCs w:val="18"/>
                      <w:u w:val="none"/>
                    </w:rPr>
                  </w:pPr>
                </w:p>
              </w:tc>
            </w:tr>
            <w:tr w14:paraId="01CB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3A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五、其他收入安排</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21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FF43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1201">
                  <w:pPr>
                    <w:jc w:val="center"/>
                    <w:rPr>
                      <w:rFonts w:hint="eastAsia" w:ascii="宋体" w:hAnsi="宋体" w:eastAsia="宋体" w:cs="宋体"/>
                      <w:i w:val="0"/>
                      <w:iCs w:val="0"/>
                      <w:color w:val="000000"/>
                      <w:sz w:val="18"/>
                      <w:szCs w:val="18"/>
                      <w:u w:val="none"/>
                    </w:rPr>
                  </w:pPr>
                </w:p>
              </w:tc>
            </w:tr>
            <w:tr w14:paraId="35EF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A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事业收入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F8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5039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2FF7">
                  <w:pPr>
                    <w:jc w:val="center"/>
                    <w:rPr>
                      <w:rFonts w:hint="eastAsia" w:ascii="宋体" w:hAnsi="宋体" w:eastAsia="宋体" w:cs="宋体"/>
                      <w:i w:val="0"/>
                      <w:iCs w:val="0"/>
                      <w:color w:val="000000"/>
                      <w:sz w:val="18"/>
                      <w:szCs w:val="18"/>
                      <w:u w:val="none"/>
                    </w:rPr>
                  </w:pPr>
                </w:p>
              </w:tc>
            </w:tr>
            <w:tr w14:paraId="0314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D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经营收入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B32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556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7465">
                  <w:pPr>
                    <w:jc w:val="center"/>
                    <w:rPr>
                      <w:rFonts w:hint="eastAsia" w:ascii="宋体" w:hAnsi="宋体" w:eastAsia="宋体" w:cs="宋体"/>
                      <w:i w:val="0"/>
                      <w:iCs w:val="0"/>
                      <w:color w:val="000000"/>
                      <w:sz w:val="18"/>
                      <w:szCs w:val="18"/>
                      <w:u w:val="none"/>
                    </w:rPr>
                  </w:pPr>
                </w:p>
              </w:tc>
            </w:tr>
            <w:tr w14:paraId="5AB7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9E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上级补助收入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0C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297C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9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r>
            <w:tr w14:paraId="51D3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6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附属单位上缴收入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354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4DB0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九、社会保险基金支出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A919">
                  <w:pPr>
                    <w:jc w:val="center"/>
                    <w:rPr>
                      <w:rFonts w:hint="eastAsia" w:ascii="宋体" w:hAnsi="宋体" w:eastAsia="宋体" w:cs="宋体"/>
                      <w:i w:val="0"/>
                      <w:iCs w:val="0"/>
                      <w:color w:val="000000"/>
                      <w:sz w:val="18"/>
                      <w:szCs w:val="18"/>
                      <w:u w:val="none"/>
                    </w:rPr>
                  </w:pPr>
                </w:p>
              </w:tc>
            </w:tr>
            <w:tr w14:paraId="2FF2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5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D6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622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十、卫生健康支出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7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r>
            <w:tr w14:paraId="1081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4FAD">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627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6E3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十一、节能环保支出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871B">
                  <w:pPr>
                    <w:jc w:val="center"/>
                    <w:rPr>
                      <w:rFonts w:hint="eastAsia" w:ascii="宋体" w:hAnsi="宋体" w:eastAsia="宋体" w:cs="宋体"/>
                      <w:i w:val="0"/>
                      <w:iCs w:val="0"/>
                      <w:color w:val="000000"/>
                      <w:sz w:val="18"/>
                      <w:szCs w:val="18"/>
                      <w:u w:val="none"/>
                    </w:rPr>
                  </w:pPr>
                </w:p>
              </w:tc>
            </w:tr>
            <w:tr w14:paraId="473B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1ACA">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A39C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9C12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十二、城乡社区支出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7562">
                  <w:pPr>
                    <w:jc w:val="center"/>
                    <w:rPr>
                      <w:rFonts w:hint="eastAsia" w:ascii="宋体" w:hAnsi="宋体" w:eastAsia="宋体" w:cs="宋体"/>
                      <w:i w:val="0"/>
                      <w:iCs w:val="0"/>
                      <w:color w:val="000000"/>
                      <w:sz w:val="18"/>
                      <w:szCs w:val="18"/>
                      <w:u w:val="none"/>
                    </w:rPr>
                  </w:pPr>
                </w:p>
              </w:tc>
            </w:tr>
            <w:tr w14:paraId="2162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EA03">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BED6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03E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十三、农林水支出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E65D">
                  <w:pPr>
                    <w:jc w:val="center"/>
                    <w:rPr>
                      <w:rFonts w:hint="eastAsia" w:ascii="宋体" w:hAnsi="宋体" w:eastAsia="宋体" w:cs="宋体"/>
                      <w:i w:val="0"/>
                      <w:iCs w:val="0"/>
                      <w:color w:val="000000"/>
                      <w:sz w:val="18"/>
                      <w:szCs w:val="18"/>
                      <w:u w:val="none"/>
                    </w:rPr>
                  </w:pPr>
                </w:p>
              </w:tc>
            </w:tr>
            <w:tr w14:paraId="5957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1F09">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B10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C65C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十四、交通运输支出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8765">
                  <w:pPr>
                    <w:jc w:val="center"/>
                    <w:rPr>
                      <w:rFonts w:hint="eastAsia" w:ascii="宋体" w:hAnsi="宋体" w:eastAsia="宋体" w:cs="宋体"/>
                      <w:i w:val="0"/>
                      <w:iCs w:val="0"/>
                      <w:color w:val="000000"/>
                      <w:sz w:val="18"/>
                      <w:szCs w:val="18"/>
                      <w:u w:val="none"/>
                    </w:rPr>
                  </w:pPr>
                </w:p>
              </w:tc>
            </w:tr>
            <w:tr w14:paraId="284D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25CC">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900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8C5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十五、资源勘探工业信息等支出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28E7">
                  <w:pPr>
                    <w:jc w:val="center"/>
                    <w:rPr>
                      <w:rFonts w:hint="eastAsia" w:ascii="宋体" w:hAnsi="宋体" w:eastAsia="宋体" w:cs="宋体"/>
                      <w:i w:val="0"/>
                      <w:iCs w:val="0"/>
                      <w:color w:val="000000"/>
                      <w:sz w:val="18"/>
                      <w:szCs w:val="18"/>
                      <w:u w:val="none"/>
                    </w:rPr>
                  </w:pPr>
                </w:p>
              </w:tc>
            </w:tr>
            <w:tr w14:paraId="1DDC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551B">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BA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D93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十六、商业服务业等支出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443A">
                  <w:pPr>
                    <w:jc w:val="center"/>
                    <w:rPr>
                      <w:rFonts w:hint="eastAsia" w:ascii="宋体" w:hAnsi="宋体" w:eastAsia="宋体" w:cs="宋体"/>
                      <w:i w:val="0"/>
                      <w:iCs w:val="0"/>
                      <w:color w:val="000000"/>
                      <w:sz w:val="18"/>
                      <w:szCs w:val="18"/>
                      <w:u w:val="none"/>
                    </w:rPr>
                  </w:pPr>
                </w:p>
              </w:tc>
            </w:tr>
            <w:tr w14:paraId="7EA3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5050">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C26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513E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十七、金融支出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BC60">
                  <w:pPr>
                    <w:jc w:val="center"/>
                    <w:rPr>
                      <w:rFonts w:hint="eastAsia" w:ascii="宋体" w:hAnsi="宋体" w:eastAsia="宋体" w:cs="宋体"/>
                      <w:i w:val="0"/>
                      <w:iCs w:val="0"/>
                      <w:color w:val="000000"/>
                      <w:sz w:val="18"/>
                      <w:szCs w:val="18"/>
                      <w:u w:val="none"/>
                    </w:rPr>
                  </w:pPr>
                </w:p>
              </w:tc>
            </w:tr>
            <w:tr w14:paraId="4E4F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A65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ABE00">
                  <w:pPr>
                    <w:jc w:val="center"/>
                    <w:rPr>
                      <w:rFonts w:hint="default" w:ascii="Calibri" w:hAnsi="Calibri" w:cs="Calibri"/>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9A0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十八、援助其他地区支出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8EAA">
                  <w:pPr>
                    <w:jc w:val="center"/>
                    <w:rPr>
                      <w:rFonts w:hint="eastAsia" w:ascii="宋体" w:hAnsi="宋体" w:eastAsia="宋体" w:cs="宋体"/>
                      <w:i w:val="0"/>
                      <w:iCs w:val="0"/>
                      <w:color w:val="000000"/>
                      <w:sz w:val="18"/>
                      <w:szCs w:val="18"/>
                      <w:u w:val="none"/>
                    </w:rPr>
                  </w:pPr>
                </w:p>
              </w:tc>
            </w:tr>
            <w:tr w14:paraId="32B1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BF65">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84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3B3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十九、自然资源海洋气象等支出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CA0C">
                  <w:pPr>
                    <w:jc w:val="center"/>
                    <w:rPr>
                      <w:rFonts w:hint="eastAsia" w:ascii="宋体" w:hAnsi="宋体" w:eastAsia="宋体" w:cs="宋体"/>
                      <w:i w:val="0"/>
                      <w:iCs w:val="0"/>
                      <w:color w:val="000000"/>
                      <w:sz w:val="18"/>
                      <w:szCs w:val="18"/>
                      <w:u w:val="none"/>
                    </w:rPr>
                  </w:pPr>
                </w:p>
              </w:tc>
            </w:tr>
            <w:tr w14:paraId="2C93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D809">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CBD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A361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8EF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3.72</w:t>
                  </w:r>
                </w:p>
              </w:tc>
            </w:tr>
            <w:tr w14:paraId="6606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913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DC969">
                  <w:pPr>
                    <w:jc w:val="center"/>
                    <w:rPr>
                      <w:rFonts w:hint="default" w:ascii="Calibri" w:hAnsi="Calibri" w:cs="Calibri"/>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ED4D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二十一、粮油物资储备支出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ADC">
                  <w:pPr>
                    <w:jc w:val="center"/>
                    <w:rPr>
                      <w:rFonts w:hint="eastAsia" w:ascii="宋体" w:hAnsi="宋体" w:eastAsia="宋体" w:cs="宋体"/>
                      <w:i w:val="0"/>
                      <w:iCs w:val="0"/>
                      <w:color w:val="000000"/>
                      <w:sz w:val="18"/>
                      <w:szCs w:val="18"/>
                      <w:u w:val="none"/>
                    </w:rPr>
                  </w:pPr>
                </w:p>
              </w:tc>
            </w:tr>
            <w:tr w14:paraId="2D0C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CA76">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15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17F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二十二、国有资本经营预算支出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546A">
                  <w:pPr>
                    <w:jc w:val="center"/>
                    <w:rPr>
                      <w:rFonts w:hint="eastAsia" w:ascii="宋体" w:hAnsi="宋体" w:eastAsia="宋体" w:cs="宋体"/>
                      <w:i w:val="0"/>
                      <w:iCs w:val="0"/>
                      <w:color w:val="000000"/>
                      <w:sz w:val="18"/>
                      <w:szCs w:val="18"/>
                      <w:u w:val="none"/>
                    </w:rPr>
                  </w:pPr>
                </w:p>
              </w:tc>
            </w:tr>
            <w:tr w14:paraId="27CD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B717">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29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242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二十三、灾害防治及应急管理支出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B95C">
                  <w:pPr>
                    <w:jc w:val="center"/>
                    <w:rPr>
                      <w:rFonts w:hint="eastAsia" w:ascii="宋体" w:hAnsi="宋体" w:eastAsia="宋体" w:cs="宋体"/>
                      <w:i w:val="0"/>
                      <w:iCs w:val="0"/>
                      <w:color w:val="000000"/>
                      <w:sz w:val="18"/>
                      <w:szCs w:val="18"/>
                      <w:u w:val="none"/>
                    </w:rPr>
                  </w:pPr>
                </w:p>
              </w:tc>
            </w:tr>
            <w:tr w14:paraId="6C45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F53B">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8FA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4C6F3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二十四、预备费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AC0E">
                  <w:pPr>
                    <w:jc w:val="center"/>
                    <w:rPr>
                      <w:rFonts w:hint="eastAsia" w:ascii="宋体" w:hAnsi="宋体" w:eastAsia="宋体" w:cs="宋体"/>
                      <w:i w:val="0"/>
                      <w:iCs w:val="0"/>
                      <w:color w:val="000000"/>
                      <w:sz w:val="18"/>
                      <w:szCs w:val="18"/>
                      <w:u w:val="none"/>
                    </w:rPr>
                  </w:pPr>
                </w:p>
              </w:tc>
            </w:tr>
            <w:tr w14:paraId="22C1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C585">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62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1E28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二十五、其他支出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87E3">
                  <w:pPr>
                    <w:jc w:val="center"/>
                    <w:rPr>
                      <w:rFonts w:hint="eastAsia" w:ascii="宋体" w:hAnsi="宋体" w:eastAsia="宋体" w:cs="宋体"/>
                      <w:i w:val="0"/>
                      <w:iCs w:val="0"/>
                      <w:color w:val="000000"/>
                      <w:sz w:val="18"/>
                      <w:szCs w:val="18"/>
                      <w:u w:val="none"/>
                    </w:rPr>
                  </w:pPr>
                </w:p>
              </w:tc>
            </w:tr>
            <w:tr w14:paraId="6544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AE8C">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7EC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2C7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二十六、转移性支出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DA44">
                  <w:pPr>
                    <w:jc w:val="center"/>
                    <w:rPr>
                      <w:rFonts w:hint="eastAsia" w:ascii="宋体" w:hAnsi="宋体" w:eastAsia="宋体" w:cs="宋体"/>
                      <w:i w:val="0"/>
                      <w:iCs w:val="0"/>
                      <w:color w:val="000000"/>
                      <w:sz w:val="18"/>
                      <w:szCs w:val="18"/>
                      <w:u w:val="none"/>
                    </w:rPr>
                  </w:pPr>
                </w:p>
              </w:tc>
            </w:tr>
            <w:tr w14:paraId="10F9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9921">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45F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DD7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二十七、债务还本支出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9F28">
                  <w:pPr>
                    <w:jc w:val="center"/>
                    <w:rPr>
                      <w:rFonts w:hint="eastAsia" w:ascii="宋体" w:hAnsi="宋体" w:eastAsia="宋体" w:cs="宋体"/>
                      <w:i w:val="0"/>
                      <w:iCs w:val="0"/>
                      <w:color w:val="000000"/>
                      <w:sz w:val="18"/>
                      <w:szCs w:val="18"/>
                      <w:u w:val="none"/>
                    </w:rPr>
                  </w:pPr>
                </w:p>
              </w:tc>
            </w:tr>
            <w:tr w14:paraId="56DB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EB18">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B3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CC46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二十八、债务付息支出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FA8F">
                  <w:pPr>
                    <w:jc w:val="center"/>
                    <w:rPr>
                      <w:rFonts w:hint="eastAsia" w:ascii="宋体" w:hAnsi="宋体" w:eastAsia="宋体" w:cs="宋体"/>
                      <w:i w:val="0"/>
                      <w:iCs w:val="0"/>
                      <w:color w:val="000000"/>
                      <w:sz w:val="18"/>
                      <w:szCs w:val="18"/>
                      <w:u w:val="none"/>
                    </w:rPr>
                  </w:pPr>
                </w:p>
              </w:tc>
            </w:tr>
            <w:tr w14:paraId="03CA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7B47">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89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72C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二十九、债务发行费用支出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2FEC">
                  <w:pPr>
                    <w:jc w:val="center"/>
                    <w:rPr>
                      <w:rFonts w:hint="eastAsia" w:ascii="宋体" w:hAnsi="宋体" w:eastAsia="宋体" w:cs="宋体"/>
                      <w:i w:val="0"/>
                      <w:iCs w:val="0"/>
                      <w:color w:val="000000"/>
                      <w:sz w:val="18"/>
                      <w:szCs w:val="18"/>
                      <w:u w:val="none"/>
                    </w:rPr>
                  </w:pPr>
                </w:p>
              </w:tc>
            </w:tr>
            <w:tr w14:paraId="1DA9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8077">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C5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1BC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三十、抗疫特别国债安排的支出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4E77">
                  <w:pPr>
                    <w:jc w:val="center"/>
                    <w:rPr>
                      <w:rFonts w:hint="eastAsia" w:ascii="宋体" w:hAnsi="宋体" w:eastAsia="宋体" w:cs="宋体"/>
                      <w:i w:val="0"/>
                      <w:iCs w:val="0"/>
                      <w:color w:val="000000"/>
                      <w:sz w:val="18"/>
                      <w:szCs w:val="18"/>
                      <w:u w:val="none"/>
                    </w:rPr>
                  </w:pPr>
                </w:p>
              </w:tc>
            </w:tr>
            <w:tr w14:paraId="0B97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E6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本年收入小计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81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08A3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本年支出小计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0F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59.51</w:t>
                  </w:r>
                </w:p>
              </w:tc>
            </w:tr>
            <w:tr w14:paraId="039B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5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19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805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结转下年</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98B59">
                  <w:pPr>
                    <w:jc w:val="center"/>
                    <w:rPr>
                      <w:rFonts w:hint="eastAsia" w:ascii="宋体" w:hAnsi="宋体" w:eastAsia="宋体" w:cs="宋体"/>
                      <w:i w:val="0"/>
                      <w:iCs w:val="0"/>
                      <w:color w:val="000000"/>
                      <w:sz w:val="18"/>
                      <w:szCs w:val="18"/>
                      <w:u w:val="none"/>
                    </w:rPr>
                  </w:pPr>
                </w:p>
              </w:tc>
            </w:tr>
            <w:tr w14:paraId="7E1B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7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FD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1C3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C233D">
                  <w:pPr>
                    <w:jc w:val="center"/>
                    <w:rPr>
                      <w:rFonts w:hint="eastAsia" w:ascii="宋体" w:hAnsi="宋体" w:eastAsia="宋体" w:cs="宋体"/>
                      <w:i w:val="0"/>
                      <w:iCs w:val="0"/>
                      <w:color w:val="000000"/>
                      <w:sz w:val="18"/>
                      <w:szCs w:val="18"/>
                      <w:u w:val="none"/>
                    </w:rPr>
                  </w:pPr>
                </w:p>
              </w:tc>
            </w:tr>
            <w:tr w14:paraId="5C06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C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25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F8DE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53A89">
                  <w:pPr>
                    <w:jc w:val="center"/>
                    <w:rPr>
                      <w:rFonts w:hint="eastAsia" w:ascii="宋体" w:hAnsi="宋体" w:eastAsia="宋体" w:cs="宋体"/>
                      <w:i w:val="0"/>
                      <w:iCs w:val="0"/>
                      <w:color w:val="000000"/>
                      <w:sz w:val="18"/>
                      <w:szCs w:val="18"/>
                      <w:u w:val="none"/>
                    </w:rPr>
                  </w:pPr>
                </w:p>
              </w:tc>
            </w:tr>
            <w:tr w14:paraId="203A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46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F10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EAD3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839AB">
                  <w:pPr>
                    <w:jc w:val="center"/>
                    <w:rPr>
                      <w:rFonts w:hint="eastAsia" w:ascii="宋体" w:hAnsi="宋体" w:eastAsia="宋体" w:cs="宋体"/>
                      <w:i w:val="0"/>
                      <w:iCs w:val="0"/>
                      <w:color w:val="000000"/>
                      <w:sz w:val="18"/>
                      <w:szCs w:val="18"/>
                      <w:u w:val="none"/>
                    </w:rPr>
                  </w:pPr>
                </w:p>
              </w:tc>
            </w:tr>
            <w:tr w14:paraId="618C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8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财政专户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E5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F0DB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财政专户</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59AF2">
                  <w:pPr>
                    <w:jc w:val="center"/>
                    <w:rPr>
                      <w:rFonts w:hint="eastAsia" w:ascii="宋体" w:hAnsi="宋体" w:eastAsia="宋体" w:cs="宋体"/>
                      <w:i w:val="0"/>
                      <w:iCs w:val="0"/>
                      <w:color w:val="000000"/>
                      <w:sz w:val="18"/>
                      <w:szCs w:val="18"/>
                      <w:u w:val="none"/>
                    </w:rPr>
                  </w:pPr>
                </w:p>
              </w:tc>
            </w:tr>
            <w:tr w14:paraId="4040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1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7D6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648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3597A">
                  <w:pPr>
                    <w:jc w:val="center"/>
                    <w:rPr>
                      <w:rFonts w:hint="eastAsia" w:ascii="宋体" w:hAnsi="宋体" w:eastAsia="宋体" w:cs="宋体"/>
                      <w:i w:val="0"/>
                      <w:iCs w:val="0"/>
                      <w:color w:val="000000"/>
                      <w:sz w:val="18"/>
                      <w:szCs w:val="18"/>
                      <w:u w:val="none"/>
                    </w:rPr>
                  </w:pPr>
                </w:p>
              </w:tc>
            </w:tr>
            <w:tr w14:paraId="13BF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547722DB">
                  <w:pP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3BE7ED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nil"/>
                    <w:right w:val="single" w:color="000000" w:sz="4" w:space="0"/>
                  </w:tcBorders>
                  <w:shd w:val="clear" w:color="auto" w:fill="auto"/>
                  <w:noWrap/>
                  <w:vAlign w:val="center"/>
                </w:tcPr>
                <w:p w14:paraId="0B07A91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bottom"/>
                </w:tcPr>
                <w:p w14:paraId="5DAAAD64">
                  <w:pPr>
                    <w:jc w:val="center"/>
                    <w:rPr>
                      <w:rFonts w:hint="default" w:ascii="Calibri" w:hAnsi="Calibri" w:cs="Calibri"/>
                      <w:i w:val="0"/>
                      <w:iCs w:val="0"/>
                      <w:color w:val="000000"/>
                      <w:sz w:val="18"/>
                      <w:szCs w:val="18"/>
                      <w:u w:val="none"/>
                    </w:rPr>
                  </w:pPr>
                </w:p>
              </w:tc>
            </w:tr>
            <w:tr w14:paraId="0D10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1E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F4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BE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BD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59.51</w:t>
                  </w:r>
                </w:p>
              </w:tc>
            </w:tr>
            <w:tr w14:paraId="4B48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4"/>
                  <w:tcBorders>
                    <w:top w:val="nil"/>
                    <w:left w:val="nil"/>
                    <w:bottom w:val="nil"/>
                    <w:right w:val="nil"/>
                  </w:tcBorders>
                  <w:shd w:val="clear" w:color="auto" w:fill="auto"/>
                  <w:noWrap/>
                  <w:vAlign w:val="center"/>
                </w:tcPr>
                <w:p w14:paraId="1C46E7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注：本表反映单位各项收入、支出预算安排情况。</w:t>
                  </w:r>
                </w:p>
              </w:tc>
            </w:tr>
          </w:tbl>
          <w:p w14:paraId="1018BECA">
            <w:pPr>
              <w:rPr>
                <w:rFonts w:hint="eastAsia" w:ascii="Arial" w:hAnsi="Arial" w:eastAsia="仿宋_GB2312" w:cs="Arial"/>
                <w:i w:val="0"/>
                <w:iCs w:val="0"/>
                <w:color w:val="000000"/>
                <w:sz w:val="20"/>
                <w:szCs w:val="20"/>
                <w:u w:val="none"/>
                <w:lang w:eastAsia="zh-CN"/>
              </w:rPr>
            </w:pPr>
            <w:r>
              <w:rPr>
                <w:rFonts w:hint="eastAsia" w:ascii="Arial" w:hAnsi="Arial" w:eastAsia="仿宋_GB2312" w:cs="Arial"/>
                <w:i w:val="0"/>
                <w:iCs w:val="0"/>
                <w:color w:val="000000"/>
                <w:sz w:val="20"/>
                <w:szCs w:val="20"/>
                <w:u w:val="none"/>
                <w:lang w:eastAsia="zh-CN"/>
              </w:rPr>
              <w:fldChar w:fldCharType="end"/>
            </w:r>
          </w:p>
          <w:p w14:paraId="20044845">
            <w:pPr>
              <w:rPr>
                <w:rFonts w:hint="eastAsia" w:ascii="Arial" w:hAnsi="Arial" w:cs="Arial"/>
                <w:i w:val="0"/>
                <w:iCs w:val="0"/>
                <w:color w:val="000000"/>
                <w:sz w:val="20"/>
                <w:szCs w:val="20"/>
                <w:u w:val="none"/>
              </w:rPr>
            </w:pPr>
          </w:p>
          <w:p w14:paraId="0BFFE589">
            <w:pPr>
              <w:rPr>
                <w:rFonts w:hint="eastAsia" w:ascii="Arial" w:hAnsi="Arial" w:cs="Arial"/>
                <w:i w:val="0"/>
                <w:iCs w:val="0"/>
                <w:color w:val="000000"/>
                <w:sz w:val="20"/>
                <w:szCs w:val="20"/>
                <w:u w:val="none"/>
              </w:rPr>
            </w:pPr>
          </w:p>
          <w:p w14:paraId="553A63DE">
            <w:pPr>
              <w:rPr>
                <w:rFonts w:hint="eastAsia" w:ascii="Arial" w:hAnsi="Arial" w:cs="Arial"/>
                <w:i w:val="0"/>
                <w:iCs w:val="0"/>
                <w:color w:val="000000"/>
                <w:sz w:val="20"/>
                <w:szCs w:val="20"/>
                <w:u w:val="none"/>
              </w:rPr>
            </w:pPr>
          </w:p>
          <w:p w14:paraId="0B40108E">
            <w:pPr>
              <w:rPr>
                <w:rFonts w:hint="default" w:ascii="Arial" w:hAnsi="Arial" w:eastAsia="仿宋_GB2312" w:cs="Arial"/>
                <w:i w:val="0"/>
                <w:iCs w:val="0"/>
                <w:color w:val="000000"/>
                <w:sz w:val="20"/>
                <w:szCs w:val="20"/>
                <w:u w:val="none"/>
                <w:lang w:val="en-US" w:eastAsia="zh-CN"/>
              </w:rPr>
            </w:pPr>
          </w:p>
          <w:p w14:paraId="3FC1A307">
            <w:pPr>
              <w:rPr>
                <w:rFonts w:hint="eastAsia" w:ascii="Arial" w:hAnsi="Arial" w:cs="Arial"/>
                <w:i w:val="0"/>
                <w:iCs w:val="0"/>
                <w:color w:val="000000"/>
                <w:sz w:val="20"/>
                <w:szCs w:val="20"/>
                <w:u w:val="none"/>
              </w:rPr>
            </w:pPr>
          </w:p>
        </w:tc>
        <w:tc>
          <w:tcPr>
            <w:tcW w:w="1545" w:type="dxa"/>
            <w:tcBorders>
              <w:top w:val="nil"/>
              <w:left w:val="nil"/>
              <w:bottom w:val="nil"/>
              <w:right w:val="nil"/>
            </w:tcBorders>
            <w:shd w:val="clear" w:color="auto" w:fill="auto"/>
            <w:noWrap/>
            <w:vAlign w:val="bottom"/>
          </w:tcPr>
          <w:p w14:paraId="1E6A9D22">
            <w:pPr>
              <w:jc w:val="center"/>
              <w:rPr>
                <w:rFonts w:hint="eastAsia" w:ascii="Calibri" w:hAnsi="Calibri" w:cs="Calibri"/>
                <w:i w:val="0"/>
                <w:iCs w:val="0"/>
                <w:color w:val="000000"/>
                <w:sz w:val="22"/>
                <w:szCs w:val="22"/>
                <w:u w:val="none"/>
              </w:rPr>
            </w:pPr>
          </w:p>
        </w:tc>
        <w:tc>
          <w:tcPr>
            <w:tcW w:w="3404" w:type="dxa"/>
            <w:tcBorders>
              <w:top w:val="nil"/>
              <w:left w:val="nil"/>
              <w:bottom w:val="nil"/>
              <w:right w:val="nil"/>
            </w:tcBorders>
            <w:shd w:val="clear" w:color="auto" w:fill="auto"/>
            <w:noWrap/>
            <w:vAlign w:val="bottom"/>
          </w:tcPr>
          <w:p w14:paraId="57A7A6FD">
            <w:pPr>
              <w:rPr>
                <w:rFonts w:hint="default" w:ascii="Arial" w:hAnsi="Arial" w:cs="Arial"/>
                <w:i w:val="0"/>
                <w:iCs w:val="0"/>
                <w:color w:val="000000"/>
                <w:sz w:val="20"/>
                <w:szCs w:val="20"/>
                <w:u w:val="none"/>
              </w:rPr>
            </w:pPr>
          </w:p>
        </w:tc>
        <w:tc>
          <w:tcPr>
            <w:tcW w:w="1725" w:type="dxa"/>
            <w:tcBorders>
              <w:top w:val="nil"/>
              <w:left w:val="nil"/>
              <w:bottom w:val="nil"/>
              <w:right w:val="nil"/>
            </w:tcBorders>
            <w:shd w:val="clear" w:color="auto" w:fill="auto"/>
            <w:noWrap/>
            <w:vAlign w:val="center"/>
          </w:tcPr>
          <w:p w14:paraId="55308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部门（单位）公开表1</w:t>
            </w:r>
          </w:p>
        </w:tc>
        <w:tc>
          <w:tcPr>
            <w:tcW w:w="1725" w:type="dxa"/>
            <w:tcBorders>
              <w:top w:val="nil"/>
              <w:left w:val="nil"/>
              <w:bottom w:val="nil"/>
              <w:right w:val="nil"/>
            </w:tcBorders>
            <w:shd w:val="clear" w:color="auto" w:fill="auto"/>
            <w:noWrap/>
            <w:vAlign w:val="center"/>
          </w:tcPr>
          <w:p w14:paraId="7F268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25" w:type="dxa"/>
            <w:tcBorders>
              <w:top w:val="nil"/>
              <w:left w:val="nil"/>
              <w:bottom w:val="nil"/>
              <w:right w:val="nil"/>
            </w:tcBorders>
            <w:shd w:val="clear" w:color="auto" w:fill="auto"/>
            <w:noWrap/>
            <w:vAlign w:val="center"/>
          </w:tcPr>
          <w:p w14:paraId="22BC06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25" w:type="dxa"/>
            <w:tcBorders>
              <w:top w:val="nil"/>
              <w:left w:val="nil"/>
              <w:bottom w:val="nil"/>
              <w:right w:val="nil"/>
            </w:tcBorders>
            <w:shd w:val="clear" w:color="auto" w:fill="auto"/>
            <w:noWrap/>
            <w:vAlign w:val="center"/>
          </w:tcPr>
          <w:p w14:paraId="5126C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DF398C8">
      <w:pPr>
        <w:rPr>
          <w:rFonts w:hint="eastAsia" w:ascii="Calibri" w:hAnsi="Calibri" w:eastAsia="仿宋_GB2312" w:cs="Calibri"/>
          <w:i w:val="0"/>
          <w:iCs w:val="0"/>
          <w:color w:val="000000"/>
          <w:sz w:val="22"/>
          <w:szCs w:val="22"/>
          <w:u w:val="none"/>
          <w:lang w:eastAsia="zh-CN"/>
        </w:rPr>
      </w:pPr>
    </w:p>
    <w:p w14:paraId="73668D78">
      <w:pPr>
        <w:rPr>
          <w:rFonts w:hint="eastAsia" w:ascii="Calibri" w:hAnsi="Calibri" w:eastAsia="仿宋_GB2312" w:cs="Calibri"/>
          <w:i w:val="0"/>
          <w:iCs w:val="0"/>
          <w:color w:val="000000"/>
          <w:sz w:val="22"/>
          <w:szCs w:val="22"/>
          <w:u w:val="none"/>
          <w:lang w:eastAsia="zh-CN"/>
        </w:rPr>
      </w:pPr>
    </w:p>
    <w:p w14:paraId="35B4E596">
      <w:pPr>
        <w:rPr>
          <w:rFonts w:hint="eastAsia" w:ascii="Calibri" w:hAnsi="Calibri" w:eastAsia="仿宋_GB2312" w:cs="Calibri"/>
          <w:i w:val="0"/>
          <w:iCs w:val="0"/>
          <w:color w:val="000000"/>
          <w:sz w:val="22"/>
          <w:szCs w:val="22"/>
          <w:u w:val="none"/>
          <w:lang w:eastAsia="zh-CN"/>
        </w:rPr>
      </w:pPr>
    </w:p>
    <w:p w14:paraId="4EC310C5">
      <w:pPr>
        <w:rPr>
          <w:rFonts w:hint="eastAsia" w:ascii="Calibri" w:hAnsi="Calibri" w:eastAsia="仿宋_GB2312" w:cs="Calibri"/>
          <w:i w:val="0"/>
          <w:iCs w:val="0"/>
          <w:color w:val="000000"/>
          <w:sz w:val="22"/>
          <w:szCs w:val="22"/>
          <w:u w:val="none"/>
          <w:lang w:eastAsia="zh-CN"/>
        </w:rPr>
      </w:pPr>
    </w:p>
    <w:p w14:paraId="44A8D69F">
      <w:pPr>
        <w:rPr>
          <w:rFonts w:hint="eastAsia" w:ascii="Calibri" w:hAnsi="Calibri" w:eastAsia="仿宋_GB2312" w:cs="Calibri"/>
          <w:i w:val="0"/>
          <w:iCs w:val="0"/>
          <w:color w:val="000000"/>
          <w:sz w:val="22"/>
          <w:szCs w:val="22"/>
          <w:u w:val="none"/>
          <w:lang w:eastAsia="zh-CN"/>
        </w:rPr>
      </w:pPr>
    </w:p>
    <w:p w14:paraId="3417B6BC">
      <w:pPr>
        <w:rPr>
          <w:rFonts w:hint="eastAsia" w:ascii="Calibri" w:hAnsi="Calibri" w:eastAsia="仿宋_GB2312" w:cs="Calibri"/>
          <w:i w:val="0"/>
          <w:iCs w:val="0"/>
          <w:color w:val="000000"/>
          <w:sz w:val="22"/>
          <w:szCs w:val="22"/>
          <w:u w:val="none"/>
          <w:lang w:eastAsia="zh-CN"/>
        </w:rPr>
      </w:pPr>
    </w:p>
    <w:p w14:paraId="14F0FB76">
      <w:pPr>
        <w:rPr>
          <w:rFonts w:hint="eastAsia" w:ascii="Calibri" w:hAnsi="Calibri" w:eastAsia="仿宋_GB2312" w:cs="Calibri"/>
          <w:i w:val="0"/>
          <w:iCs w:val="0"/>
          <w:color w:val="000000"/>
          <w:sz w:val="22"/>
          <w:szCs w:val="22"/>
          <w:u w:val="none"/>
          <w:lang w:eastAsia="zh-CN"/>
        </w:rPr>
      </w:pPr>
    </w:p>
    <w:p w14:paraId="55A48449">
      <w:pPr>
        <w:rPr>
          <w:rFonts w:hint="eastAsia" w:ascii="Calibri" w:hAnsi="Calibri" w:eastAsia="仿宋_GB2312" w:cs="Calibri"/>
          <w:i w:val="0"/>
          <w:iCs w:val="0"/>
          <w:color w:val="000000"/>
          <w:sz w:val="22"/>
          <w:szCs w:val="22"/>
          <w:u w:val="none"/>
          <w:lang w:eastAsia="zh-CN"/>
        </w:rPr>
      </w:pPr>
    </w:p>
    <w:p w14:paraId="7D473A43">
      <w:pPr>
        <w:rPr>
          <w:rFonts w:hint="eastAsia" w:ascii="Calibri" w:hAnsi="Calibri" w:eastAsia="仿宋_GB2312" w:cs="Calibri"/>
          <w:i w:val="0"/>
          <w:iCs w:val="0"/>
          <w:color w:val="000000"/>
          <w:sz w:val="22"/>
          <w:szCs w:val="22"/>
          <w:u w:val="none"/>
          <w:lang w:eastAsia="zh-CN"/>
        </w:rPr>
      </w:pPr>
    </w:p>
    <w:p w14:paraId="0FDE2F0F">
      <w:pPr>
        <w:rPr>
          <w:rFonts w:hint="eastAsia" w:ascii="Calibri" w:hAnsi="Calibri" w:eastAsia="仿宋_GB2312" w:cs="Calibri"/>
          <w:i w:val="0"/>
          <w:iCs w:val="0"/>
          <w:color w:val="000000"/>
          <w:sz w:val="22"/>
          <w:szCs w:val="22"/>
          <w:u w:val="none"/>
          <w:lang w:eastAsia="zh-CN"/>
        </w:rPr>
      </w:pPr>
    </w:p>
    <w:p w14:paraId="78464B65">
      <w:pPr>
        <w:rPr>
          <w:rFonts w:hint="eastAsia" w:ascii="Calibri" w:hAnsi="Calibri" w:eastAsia="仿宋_GB2312" w:cs="Calibri"/>
          <w:i w:val="0"/>
          <w:iCs w:val="0"/>
          <w:color w:val="000000"/>
          <w:sz w:val="22"/>
          <w:szCs w:val="22"/>
          <w:u w:val="none"/>
          <w:lang w:eastAsia="zh-CN"/>
        </w:rPr>
      </w:pPr>
    </w:p>
    <w:p w14:paraId="43DB6CB6">
      <w:pPr>
        <w:rPr>
          <w:rFonts w:hint="eastAsia" w:ascii="Calibri" w:hAnsi="Calibri" w:eastAsia="仿宋_GB2312" w:cs="Calibri"/>
          <w:i w:val="0"/>
          <w:iCs w:val="0"/>
          <w:color w:val="000000"/>
          <w:sz w:val="22"/>
          <w:szCs w:val="22"/>
          <w:u w:val="none"/>
          <w:lang w:eastAsia="zh-CN"/>
        </w:rPr>
      </w:pPr>
    </w:p>
    <w:p w14:paraId="7FB0583D">
      <w:pPr>
        <w:rPr>
          <w:rFonts w:hint="eastAsia" w:ascii="Calibri" w:hAnsi="Calibri" w:eastAsia="仿宋_GB2312" w:cs="Calibri"/>
          <w:i w:val="0"/>
          <w:iCs w:val="0"/>
          <w:color w:val="000000"/>
          <w:sz w:val="22"/>
          <w:szCs w:val="22"/>
          <w:u w:val="none"/>
          <w:lang w:eastAsia="zh-CN"/>
        </w:rPr>
      </w:pPr>
    </w:p>
    <w:p w14:paraId="50786DDF">
      <w:pPr>
        <w:rPr>
          <w:rFonts w:hint="eastAsia" w:ascii="Calibri" w:hAnsi="Calibri"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 xml:space="preserve">                                                         </w:t>
      </w:r>
    </w:p>
    <w:p w14:paraId="4B706A53">
      <w:pPr>
        <w:rPr>
          <w:rFonts w:hint="eastAsia" w:ascii="Calibri" w:hAnsi="Calibri" w:cs="Calibri"/>
          <w:i w:val="0"/>
          <w:iCs w:val="0"/>
          <w:color w:val="000000"/>
          <w:sz w:val="22"/>
          <w:szCs w:val="22"/>
          <w:u w:val="none"/>
          <w:lang w:val="en-US" w:eastAsia="zh-CN"/>
        </w:rPr>
        <w:sectPr>
          <w:pgSz w:w="11906"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437" w:charSpace="2555"/>
        </w:sectPr>
      </w:pPr>
      <w:r>
        <w:rPr>
          <w:rFonts w:hint="eastAsia" w:ascii="Calibri" w:hAnsi="Calibri" w:cs="Calibri"/>
          <w:i w:val="0"/>
          <w:iCs w:val="0"/>
          <w:color w:val="000000"/>
          <w:sz w:val="22"/>
          <w:szCs w:val="22"/>
          <w:u w:val="none"/>
          <w:lang w:val="en-US" w:eastAsia="zh-CN"/>
        </w:rPr>
        <w:t xml:space="preserve">                                                                        </w:t>
      </w:r>
    </w:p>
    <w:p w14:paraId="74C6AAE0">
      <w:pPr>
        <w:rPr>
          <w:rFonts w:hint="default" w:ascii="Calibri" w:hAnsi="Calibri" w:cs="Calibri"/>
          <w:i w:val="0"/>
          <w:iCs w:val="0"/>
          <w:color w:val="000000"/>
          <w:sz w:val="22"/>
          <w:szCs w:val="22"/>
          <w:u w:val="none"/>
          <w:lang w:val="en-US" w:eastAsia="zh-CN"/>
        </w:rPr>
      </w:pPr>
      <w:r>
        <w:rPr>
          <w:rFonts w:hint="default" w:ascii="Calibri" w:hAnsi="Calibri" w:cs="Calibri"/>
          <w:i w:val="0"/>
          <w:iCs w:val="0"/>
          <w:color w:val="000000"/>
          <w:sz w:val="22"/>
          <w:szCs w:val="22"/>
          <w:u w:val="none"/>
          <w:lang w:val="en-US" w:eastAsia="zh-CN"/>
        </w:rPr>
        <w:fldChar w:fldCharType="begin"/>
      </w:r>
      <w:r>
        <w:instrText xml:space="preserve"> LINK Excel.Sheet.8 "C:\\Users\\apple\\Desktop\\2024年预算公开\\预算中心\\黄山市2024年部门预算公开表（包含结转）_(003002)黄山市人大预算联网监督中心.xls" "表二、收入预算总表!R1C1:R9C19" \h \a </w:instrText>
      </w:r>
      <w:r>
        <w:rPr>
          <w:rFonts w:hint="default" w:ascii="Calibri" w:hAnsi="Calibri" w:cs="Calibri"/>
          <w:i w:val="0"/>
          <w:iCs w:val="0"/>
          <w:color w:val="000000"/>
          <w:sz w:val="22"/>
          <w:szCs w:val="22"/>
          <w:u w:val="none"/>
          <w:lang w:val="en-US" w:eastAsia="zh-CN"/>
        </w:rPr>
        <w:fldChar w:fldCharType="separate"/>
      </w:r>
    </w:p>
    <w:p w14:paraId="6EA014A1">
      <w:pPr>
        <w:rPr>
          <w:rFonts w:hint="default" w:ascii="Calibri" w:hAnsi="Calibri" w:cs="Calibri"/>
          <w:i w:val="0"/>
          <w:iCs w:val="0"/>
          <w:color w:val="000000"/>
          <w:sz w:val="22"/>
          <w:szCs w:val="22"/>
          <w:u w:val="none"/>
          <w:lang w:val="en-US" w:eastAsia="zh-CN"/>
        </w:rPr>
      </w:pPr>
      <w:r>
        <w:rPr>
          <w:rFonts w:hint="default" w:ascii="Calibri" w:hAnsi="Calibri" w:cs="Calibri"/>
          <w:i w:val="0"/>
          <w:iCs w:val="0"/>
          <w:color w:val="000000"/>
          <w:sz w:val="22"/>
          <w:szCs w:val="22"/>
          <w:u w:val="none"/>
          <w:lang w:val="en-US" w:eastAsia="zh-CN"/>
        </w:rPr>
        <w:fldChar w:fldCharType="end"/>
      </w:r>
    </w:p>
    <w:tbl>
      <w:tblPr>
        <w:tblStyle w:val="8"/>
        <w:tblpPr w:leftFromText="180" w:rightFromText="180" w:vertAnchor="text" w:horzAnchor="page" w:tblpX="782" w:tblpY="197"/>
        <w:tblOverlap w:val="never"/>
        <w:tblW w:w="15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58"/>
        <w:gridCol w:w="752"/>
        <w:gridCol w:w="876"/>
        <w:gridCol w:w="1063"/>
        <w:gridCol w:w="645"/>
        <w:gridCol w:w="645"/>
        <w:gridCol w:w="537"/>
        <w:gridCol w:w="538"/>
        <w:gridCol w:w="534"/>
        <w:gridCol w:w="767"/>
        <w:gridCol w:w="632"/>
        <w:gridCol w:w="645"/>
        <w:gridCol w:w="733"/>
        <w:gridCol w:w="810"/>
        <w:gridCol w:w="795"/>
        <w:gridCol w:w="720"/>
        <w:gridCol w:w="720"/>
        <w:gridCol w:w="759"/>
        <w:gridCol w:w="1116"/>
      </w:tblGrid>
      <w:tr w14:paraId="68C1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358" w:type="dxa"/>
            <w:tcBorders>
              <w:top w:val="nil"/>
              <w:left w:val="nil"/>
              <w:bottom w:val="nil"/>
              <w:right w:val="nil"/>
            </w:tcBorders>
            <w:shd w:val="clear" w:color="auto" w:fill="auto"/>
            <w:noWrap/>
            <w:vAlign w:val="bottom"/>
          </w:tcPr>
          <w:p w14:paraId="791DC4FB">
            <w:pPr>
              <w:rPr>
                <w:rFonts w:hint="eastAsia" w:ascii="Arial" w:hAnsi="Arial" w:cs="Arial"/>
                <w:i w:val="0"/>
                <w:iCs w:val="0"/>
                <w:color w:val="000000"/>
                <w:sz w:val="20"/>
                <w:szCs w:val="20"/>
                <w:u w:val="none"/>
              </w:rPr>
            </w:pPr>
          </w:p>
        </w:tc>
        <w:tc>
          <w:tcPr>
            <w:tcW w:w="752" w:type="dxa"/>
            <w:tcBorders>
              <w:top w:val="nil"/>
              <w:left w:val="nil"/>
              <w:bottom w:val="nil"/>
              <w:right w:val="nil"/>
            </w:tcBorders>
            <w:shd w:val="clear" w:color="auto" w:fill="auto"/>
            <w:noWrap/>
            <w:vAlign w:val="bottom"/>
          </w:tcPr>
          <w:p w14:paraId="4EF51E3D">
            <w:pPr>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auto"/>
            <w:noWrap/>
            <w:vAlign w:val="bottom"/>
          </w:tcPr>
          <w:p w14:paraId="58DA180D">
            <w:pPr>
              <w:rPr>
                <w:rFonts w:hint="default" w:ascii="Arial" w:hAnsi="Arial" w:cs="Arial"/>
                <w:i w:val="0"/>
                <w:iCs w:val="0"/>
                <w:color w:val="000000"/>
                <w:sz w:val="20"/>
                <w:szCs w:val="20"/>
                <w:u w:val="none"/>
              </w:rPr>
            </w:pPr>
          </w:p>
        </w:tc>
        <w:tc>
          <w:tcPr>
            <w:tcW w:w="1063" w:type="dxa"/>
            <w:tcBorders>
              <w:top w:val="nil"/>
              <w:left w:val="nil"/>
              <w:bottom w:val="nil"/>
              <w:right w:val="nil"/>
            </w:tcBorders>
            <w:shd w:val="clear" w:color="auto" w:fill="auto"/>
            <w:noWrap/>
            <w:vAlign w:val="bottom"/>
          </w:tcPr>
          <w:p w14:paraId="074C75DE">
            <w:pPr>
              <w:rPr>
                <w:rFonts w:hint="default" w:ascii="Arial" w:hAnsi="Arial" w:cs="Arial"/>
                <w:i w:val="0"/>
                <w:iCs w:val="0"/>
                <w:color w:val="000000"/>
                <w:sz w:val="20"/>
                <w:szCs w:val="20"/>
                <w:u w:val="none"/>
              </w:rPr>
            </w:pPr>
          </w:p>
        </w:tc>
        <w:tc>
          <w:tcPr>
            <w:tcW w:w="645" w:type="dxa"/>
            <w:tcBorders>
              <w:top w:val="nil"/>
              <w:left w:val="nil"/>
              <w:bottom w:val="nil"/>
              <w:right w:val="nil"/>
            </w:tcBorders>
            <w:shd w:val="clear" w:color="auto" w:fill="auto"/>
            <w:noWrap/>
            <w:vAlign w:val="bottom"/>
          </w:tcPr>
          <w:p w14:paraId="6644E8E0">
            <w:pPr>
              <w:rPr>
                <w:rFonts w:hint="default" w:ascii="Arial" w:hAnsi="Arial" w:cs="Arial"/>
                <w:i w:val="0"/>
                <w:iCs w:val="0"/>
                <w:color w:val="000000"/>
                <w:sz w:val="20"/>
                <w:szCs w:val="20"/>
                <w:u w:val="none"/>
              </w:rPr>
            </w:pPr>
          </w:p>
        </w:tc>
        <w:tc>
          <w:tcPr>
            <w:tcW w:w="645" w:type="dxa"/>
            <w:tcBorders>
              <w:top w:val="nil"/>
              <w:left w:val="nil"/>
              <w:bottom w:val="nil"/>
              <w:right w:val="nil"/>
            </w:tcBorders>
            <w:shd w:val="clear" w:color="auto" w:fill="auto"/>
            <w:noWrap/>
            <w:vAlign w:val="bottom"/>
          </w:tcPr>
          <w:p w14:paraId="3BD2F571">
            <w:pPr>
              <w:rPr>
                <w:rFonts w:hint="default" w:ascii="Arial" w:hAnsi="Arial" w:cs="Arial"/>
                <w:i w:val="0"/>
                <w:iCs w:val="0"/>
                <w:color w:val="000000"/>
                <w:sz w:val="20"/>
                <w:szCs w:val="20"/>
                <w:u w:val="none"/>
              </w:rPr>
            </w:pPr>
          </w:p>
        </w:tc>
        <w:tc>
          <w:tcPr>
            <w:tcW w:w="537" w:type="dxa"/>
            <w:tcBorders>
              <w:top w:val="nil"/>
              <w:left w:val="nil"/>
              <w:bottom w:val="nil"/>
              <w:right w:val="nil"/>
            </w:tcBorders>
            <w:shd w:val="clear" w:color="auto" w:fill="auto"/>
            <w:noWrap/>
            <w:vAlign w:val="bottom"/>
          </w:tcPr>
          <w:p w14:paraId="641BF712">
            <w:pPr>
              <w:rPr>
                <w:rFonts w:hint="default" w:ascii="Arial" w:hAnsi="Arial" w:cs="Arial"/>
                <w:i w:val="0"/>
                <w:iCs w:val="0"/>
                <w:color w:val="000000"/>
                <w:sz w:val="20"/>
                <w:szCs w:val="20"/>
                <w:u w:val="none"/>
              </w:rPr>
            </w:pPr>
          </w:p>
        </w:tc>
        <w:tc>
          <w:tcPr>
            <w:tcW w:w="538" w:type="dxa"/>
            <w:tcBorders>
              <w:top w:val="nil"/>
              <w:left w:val="nil"/>
              <w:bottom w:val="nil"/>
              <w:right w:val="nil"/>
            </w:tcBorders>
            <w:shd w:val="clear" w:color="auto" w:fill="auto"/>
            <w:noWrap/>
            <w:vAlign w:val="bottom"/>
          </w:tcPr>
          <w:p w14:paraId="41465BD2">
            <w:pPr>
              <w:rPr>
                <w:rFonts w:hint="default" w:ascii="Arial" w:hAnsi="Arial" w:cs="Arial"/>
                <w:i w:val="0"/>
                <w:iCs w:val="0"/>
                <w:color w:val="000000"/>
                <w:sz w:val="20"/>
                <w:szCs w:val="20"/>
                <w:u w:val="none"/>
              </w:rPr>
            </w:pPr>
          </w:p>
        </w:tc>
        <w:tc>
          <w:tcPr>
            <w:tcW w:w="534" w:type="dxa"/>
            <w:tcBorders>
              <w:top w:val="nil"/>
              <w:left w:val="nil"/>
              <w:bottom w:val="nil"/>
              <w:right w:val="nil"/>
            </w:tcBorders>
            <w:shd w:val="clear" w:color="auto" w:fill="auto"/>
            <w:noWrap/>
            <w:vAlign w:val="bottom"/>
          </w:tcPr>
          <w:p w14:paraId="76A92570">
            <w:pPr>
              <w:rPr>
                <w:rFonts w:hint="default" w:ascii="Arial" w:hAnsi="Arial" w:cs="Arial"/>
                <w:i w:val="0"/>
                <w:iCs w:val="0"/>
                <w:color w:val="000000"/>
                <w:sz w:val="20"/>
                <w:szCs w:val="20"/>
                <w:u w:val="none"/>
              </w:rPr>
            </w:pPr>
          </w:p>
        </w:tc>
        <w:tc>
          <w:tcPr>
            <w:tcW w:w="767" w:type="dxa"/>
            <w:tcBorders>
              <w:top w:val="nil"/>
              <w:left w:val="nil"/>
              <w:bottom w:val="nil"/>
              <w:right w:val="nil"/>
            </w:tcBorders>
            <w:shd w:val="clear" w:color="auto" w:fill="auto"/>
            <w:noWrap/>
            <w:vAlign w:val="bottom"/>
          </w:tcPr>
          <w:p w14:paraId="73539FEB">
            <w:pPr>
              <w:rPr>
                <w:rFonts w:hint="default" w:ascii="Arial" w:hAnsi="Arial" w:cs="Arial"/>
                <w:i w:val="0"/>
                <w:iCs w:val="0"/>
                <w:color w:val="000000"/>
                <w:sz w:val="20"/>
                <w:szCs w:val="20"/>
                <w:u w:val="none"/>
              </w:rPr>
            </w:pPr>
          </w:p>
        </w:tc>
        <w:tc>
          <w:tcPr>
            <w:tcW w:w="632" w:type="dxa"/>
            <w:tcBorders>
              <w:top w:val="nil"/>
              <w:left w:val="nil"/>
              <w:bottom w:val="nil"/>
              <w:right w:val="nil"/>
            </w:tcBorders>
            <w:shd w:val="clear" w:color="auto" w:fill="auto"/>
            <w:noWrap/>
            <w:vAlign w:val="bottom"/>
          </w:tcPr>
          <w:p w14:paraId="6FF833D6">
            <w:pPr>
              <w:rPr>
                <w:rFonts w:hint="default" w:ascii="Arial" w:hAnsi="Arial" w:cs="Arial"/>
                <w:i w:val="0"/>
                <w:iCs w:val="0"/>
                <w:color w:val="000000"/>
                <w:sz w:val="20"/>
                <w:szCs w:val="20"/>
                <w:u w:val="none"/>
              </w:rPr>
            </w:pPr>
          </w:p>
        </w:tc>
        <w:tc>
          <w:tcPr>
            <w:tcW w:w="645" w:type="dxa"/>
            <w:tcBorders>
              <w:top w:val="nil"/>
              <w:left w:val="nil"/>
              <w:bottom w:val="nil"/>
              <w:right w:val="nil"/>
            </w:tcBorders>
            <w:shd w:val="clear" w:color="auto" w:fill="auto"/>
            <w:noWrap/>
            <w:vAlign w:val="bottom"/>
          </w:tcPr>
          <w:p w14:paraId="16C30DBA">
            <w:pPr>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14:paraId="419BFC93">
            <w:pPr>
              <w:rPr>
                <w:rFonts w:hint="default" w:ascii="Arial" w:hAnsi="Arial" w:cs="Arial"/>
                <w:i w:val="0"/>
                <w:iCs w:val="0"/>
                <w:color w:val="000000"/>
                <w:sz w:val="20"/>
                <w:szCs w:val="20"/>
                <w:u w:val="none"/>
              </w:rPr>
            </w:pPr>
          </w:p>
        </w:tc>
        <w:tc>
          <w:tcPr>
            <w:tcW w:w="810" w:type="dxa"/>
            <w:tcBorders>
              <w:top w:val="nil"/>
              <w:left w:val="nil"/>
              <w:bottom w:val="nil"/>
              <w:right w:val="nil"/>
            </w:tcBorders>
            <w:shd w:val="clear" w:color="auto" w:fill="auto"/>
            <w:noWrap/>
            <w:vAlign w:val="bottom"/>
          </w:tcPr>
          <w:p w14:paraId="0E89C045">
            <w:pPr>
              <w:rPr>
                <w:rFonts w:hint="default" w:ascii="Arial" w:hAnsi="Arial" w:cs="Arial"/>
                <w:i w:val="0"/>
                <w:iCs w:val="0"/>
                <w:color w:val="000000"/>
                <w:sz w:val="20"/>
                <w:szCs w:val="20"/>
                <w:u w:val="none"/>
              </w:rPr>
            </w:pPr>
          </w:p>
        </w:tc>
        <w:tc>
          <w:tcPr>
            <w:tcW w:w="795" w:type="dxa"/>
            <w:tcBorders>
              <w:top w:val="nil"/>
              <w:left w:val="nil"/>
              <w:bottom w:val="nil"/>
              <w:right w:val="nil"/>
            </w:tcBorders>
            <w:shd w:val="clear" w:color="auto" w:fill="auto"/>
            <w:noWrap/>
            <w:vAlign w:val="bottom"/>
          </w:tcPr>
          <w:p w14:paraId="72E2D1C1">
            <w:pPr>
              <w:rPr>
                <w:rFonts w:hint="default" w:ascii="Arial" w:hAnsi="Arial" w:cs="Arial"/>
                <w:i w:val="0"/>
                <w:iCs w:val="0"/>
                <w:color w:val="000000"/>
                <w:sz w:val="20"/>
                <w:szCs w:val="20"/>
                <w:u w:val="none"/>
              </w:rPr>
            </w:pPr>
          </w:p>
        </w:tc>
        <w:tc>
          <w:tcPr>
            <w:tcW w:w="720" w:type="dxa"/>
            <w:tcBorders>
              <w:top w:val="nil"/>
              <w:left w:val="nil"/>
              <w:bottom w:val="nil"/>
              <w:right w:val="nil"/>
            </w:tcBorders>
            <w:shd w:val="clear" w:color="auto" w:fill="auto"/>
            <w:noWrap/>
            <w:vAlign w:val="bottom"/>
          </w:tcPr>
          <w:p w14:paraId="34BAD811">
            <w:pPr>
              <w:rPr>
                <w:rFonts w:hint="default" w:ascii="Arial" w:hAnsi="Arial" w:cs="Arial"/>
                <w:i w:val="0"/>
                <w:iCs w:val="0"/>
                <w:color w:val="000000"/>
                <w:sz w:val="20"/>
                <w:szCs w:val="20"/>
                <w:u w:val="none"/>
              </w:rPr>
            </w:pPr>
          </w:p>
        </w:tc>
        <w:tc>
          <w:tcPr>
            <w:tcW w:w="2595" w:type="dxa"/>
            <w:gridSpan w:val="3"/>
            <w:tcBorders>
              <w:top w:val="nil"/>
              <w:left w:val="nil"/>
              <w:bottom w:val="nil"/>
              <w:right w:val="nil"/>
            </w:tcBorders>
            <w:shd w:val="clear" w:color="auto" w:fill="auto"/>
            <w:noWrap/>
            <w:vAlign w:val="center"/>
          </w:tcPr>
          <w:p w14:paraId="44C0D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单位公开表2</w:t>
            </w:r>
          </w:p>
        </w:tc>
      </w:tr>
      <w:tr w14:paraId="2B3D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5645" w:type="dxa"/>
            <w:gridSpan w:val="19"/>
            <w:tcBorders>
              <w:top w:val="nil"/>
              <w:left w:val="nil"/>
              <w:bottom w:val="nil"/>
              <w:right w:val="nil"/>
            </w:tcBorders>
            <w:shd w:val="clear" w:color="auto" w:fill="auto"/>
            <w:noWrap/>
            <w:vAlign w:val="center"/>
          </w:tcPr>
          <w:p w14:paraId="6EE2CBE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表二、2024年收入总表</w:t>
            </w:r>
          </w:p>
        </w:tc>
      </w:tr>
      <w:tr w14:paraId="0F3C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876" w:type="dxa"/>
            <w:gridSpan w:val="7"/>
            <w:tcBorders>
              <w:top w:val="nil"/>
              <w:left w:val="nil"/>
              <w:bottom w:val="nil"/>
              <w:right w:val="nil"/>
            </w:tcBorders>
            <w:shd w:val="clear" w:color="auto" w:fill="auto"/>
            <w:noWrap/>
            <w:vAlign w:val="center"/>
          </w:tcPr>
          <w:p w14:paraId="3E9B1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538" w:type="dxa"/>
            <w:tcBorders>
              <w:top w:val="nil"/>
              <w:left w:val="nil"/>
              <w:bottom w:val="nil"/>
              <w:right w:val="nil"/>
            </w:tcBorders>
            <w:shd w:val="clear" w:color="auto" w:fill="auto"/>
            <w:noWrap/>
            <w:vAlign w:val="bottom"/>
          </w:tcPr>
          <w:p w14:paraId="275D1F44">
            <w:pPr>
              <w:rPr>
                <w:rFonts w:hint="default" w:ascii="Arial" w:hAnsi="Arial" w:cs="Arial"/>
                <w:i w:val="0"/>
                <w:iCs w:val="0"/>
                <w:color w:val="000000"/>
                <w:sz w:val="20"/>
                <w:szCs w:val="20"/>
                <w:u w:val="none"/>
              </w:rPr>
            </w:pPr>
          </w:p>
        </w:tc>
        <w:tc>
          <w:tcPr>
            <w:tcW w:w="534" w:type="dxa"/>
            <w:tcBorders>
              <w:top w:val="nil"/>
              <w:left w:val="nil"/>
              <w:bottom w:val="nil"/>
              <w:right w:val="nil"/>
            </w:tcBorders>
            <w:shd w:val="clear" w:color="auto" w:fill="auto"/>
            <w:noWrap/>
            <w:vAlign w:val="bottom"/>
          </w:tcPr>
          <w:p w14:paraId="4EE28439">
            <w:pPr>
              <w:rPr>
                <w:rFonts w:hint="default" w:ascii="Arial" w:hAnsi="Arial" w:cs="Arial"/>
                <w:i w:val="0"/>
                <w:iCs w:val="0"/>
                <w:color w:val="000000"/>
                <w:sz w:val="20"/>
                <w:szCs w:val="20"/>
                <w:u w:val="none"/>
              </w:rPr>
            </w:pPr>
          </w:p>
        </w:tc>
        <w:tc>
          <w:tcPr>
            <w:tcW w:w="767" w:type="dxa"/>
            <w:tcBorders>
              <w:top w:val="nil"/>
              <w:left w:val="nil"/>
              <w:bottom w:val="nil"/>
              <w:right w:val="nil"/>
            </w:tcBorders>
            <w:shd w:val="clear" w:color="auto" w:fill="auto"/>
            <w:noWrap/>
            <w:vAlign w:val="bottom"/>
          </w:tcPr>
          <w:p w14:paraId="3D011C8D">
            <w:pPr>
              <w:rPr>
                <w:rFonts w:hint="default" w:ascii="Arial" w:hAnsi="Arial" w:cs="Arial"/>
                <w:i w:val="0"/>
                <w:iCs w:val="0"/>
                <w:color w:val="000000"/>
                <w:sz w:val="20"/>
                <w:szCs w:val="20"/>
                <w:u w:val="none"/>
              </w:rPr>
            </w:pPr>
          </w:p>
        </w:tc>
        <w:tc>
          <w:tcPr>
            <w:tcW w:w="632" w:type="dxa"/>
            <w:tcBorders>
              <w:top w:val="nil"/>
              <w:left w:val="nil"/>
              <w:bottom w:val="nil"/>
              <w:right w:val="nil"/>
            </w:tcBorders>
            <w:shd w:val="clear" w:color="auto" w:fill="auto"/>
            <w:noWrap/>
            <w:vAlign w:val="bottom"/>
          </w:tcPr>
          <w:p w14:paraId="2164E9F2">
            <w:pPr>
              <w:rPr>
                <w:rFonts w:hint="default" w:ascii="Arial" w:hAnsi="Arial" w:cs="Arial"/>
                <w:i w:val="0"/>
                <w:iCs w:val="0"/>
                <w:color w:val="000000"/>
                <w:sz w:val="20"/>
                <w:szCs w:val="20"/>
                <w:u w:val="none"/>
              </w:rPr>
            </w:pPr>
          </w:p>
        </w:tc>
        <w:tc>
          <w:tcPr>
            <w:tcW w:w="645" w:type="dxa"/>
            <w:tcBorders>
              <w:top w:val="nil"/>
              <w:left w:val="nil"/>
              <w:bottom w:val="nil"/>
              <w:right w:val="nil"/>
            </w:tcBorders>
            <w:shd w:val="clear" w:color="auto" w:fill="auto"/>
            <w:noWrap/>
            <w:vAlign w:val="bottom"/>
          </w:tcPr>
          <w:p w14:paraId="1292CEE0">
            <w:pPr>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14:paraId="31B35426">
            <w:pPr>
              <w:rPr>
                <w:rFonts w:hint="default" w:ascii="Arial" w:hAnsi="Arial" w:cs="Arial"/>
                <w:i w:val="0"/>
                <w:iCs w:val="0"/>
                <w:color w:val="000000"/>
                <w:sz w:val="20"/>
                <w:szCs w:val="20"/>
                <w:u w:val="none"/>
              </w:rPr>
            </w:pPr>
          </w:p>
        </w:tc>
        <w:tc>
          <w:tcPr>
            <w:tcW w:w="810" w:type="dxa"/>
            <w:tcBorders>
              <w:top w:val="nil"/>
              <w:left w:val="nil"/>
              <w:bottom w:val="nil"/>
              <w:right w:val="nil"/>
            </w:tcBorders>
            <w:shd w:val="clear" w:color="auto" w:fill="auto"/>
            <w:noWrap/>
            <w:vAlign w:val="bottom"/>
          </w:tcPr>
          <w:p w14:paraId="3B70A620">
            <w:pPr>
              <w:rPr>
                <w:rFonts w:hint="default" w:ascii="Arial" w:hAnsi="Arial" w:cs="Arial"/>
                <w:i w:val="0"/>
                <w:iCs w:val="0"/>
                <w:color w:val="000000"/>
                <w:sz w:val="20"/>
                <w:szCs w:val="20"/>
                <w:u w:val="none"/>
              </w:rPr>
            </w:pPr>
          </w:p>
        </w:tc>
        <w:tc>
          <w:tcPr>
            <w:tcW w:w="795" w:type="dxa"/>
            <w:tcBorders>
              <w:top w:val="nil"/>
              <w:left w:val="nil"/>
              <w:bottom w:val="nil"/>
              <w:right w:val="nil"/>
            </w:tcBorders>
            <w:shd w:val="clear" w:color="auto" w:fill="auto"/>
            <w:noWrap/>
            <w:vAlign w:val="bottom"/>
          </w:tcPr>
          <w:p w14:paraId="7F3404F1">
            <w:pPr>
              <w:rPr>
                <w:rFonts w:hint="default" w:ascii="Arial" w:hAnsi="Arial" w:cs="Arial"/>
                <w:i w:val="0"/>
                <w:iCs w:val="0"/>
                <w:color w:val="000000"/>
                <w:sz w:val="20"/>
                <w:szCs w:val="20"/>
                <w:u w:val="none"/>
              </w:rPr>
            </w:pPr>
          </w:p>
        </w:tc>
        <w:tc>
          <w:tcPr>
            <w:tcW w:w="720" w:type="dxa"/>
            <w:tcBorders>
              <w:top w:val="nil"/>
              <w:left w:val="nil"/>
              <w:bottom w:val="nil"/>
              <w:right w:val="nil"/>
            </w:tcBorders>
            <w:shd w:val="clear" w:color="auto" w:fill="auto"/>
            <w:noWrap/>
            <w:vAlign w:val="bottom"/>
          </w:tcPr>
          <w:p w14:paraId="4FC07057">
            <w:pPr>
              <w:rPr>
                <w:rFonts w:hint="default" w:ascii="Arial" w:hAnsi="Arial" w:cs="Arial"/>
                <w:i w:val="0"/>
                <w:iCs w:val="0"/>
                <w:color w:val="000000"/>
                <w:sz w:val="20"/>
                <w:szCs w:val="20"/>
                <w:u w:val="none"/>
              </w:rPr>
            </w:pPr>
          </w:p>
        </w:tc>
        <w:tc>
          <w:tcPr>
            <w:tcW w:w="720" w:type="dxa"/>
            <w:tcBorders>
              <w:top w:val="nil"/>
              <w:left w:val="nil"/>
              <w:bottom w:val="nil"/>
              <w:right w:val="nil"/>
            </w:tcBorders>
            <w:shd w:val="clear" w:color="auto" w:fill="auto"/>
            <w:noWrap/>
            <w:vAlign w:val="bottom"/>
          </w:tcPr>
          <w:p w14:paraId="22545D1B">
            <w:pPr>
              <w:rPr>
                <w:rFonts w:hint="default" w:ascii="Arial" w:hAnsi="Arial" w:cs="Arial"/>
                <w:i w:val="0"/>
                <w:iCs w:val="0"/>
                <w:color w:val="000000"/>
                <w:sz w:val="20"/>
                <w:szCs w:val="20"/>
                <w:u w:val="none"/>
              </w:rPr>
            </w:pPr>
          </w:p>
        </w:tc>
        <w:tc>
          <w:tcPr>
            <w:tcW w:w="759" w:type="dxa"/>
            <w:tcBorders>
              <w:top w:val="nil"/>
              <w:left w:val="nil"/>
              <w:bottom w:val="nil"/>
              <w:right w:val="nil"/>
            </w:tcBorders>
            <w:shd w:val="clear" w:color="auto" w:fill="auto"/>
            <w:noWrap/>
            <w:vAlign w:val="bottom"/>
          </w:tcPr>
          <w:p w14:paraId="1C988705">
            <w:pPr>
              <w:jc w:val="both"/>
              <w:rPr>
                <w:rFonts w:hint="default" w:ascii="Arial" w:hAnsi="Arial" w:cs="Arial"/>
                <w:i w:val="0"/>
                <w:iCs w:val="0"/>
                <w:color w:val="000000"/>
                <w:sz w:val="20"/>
                <w:szCs w:val="20"/>
                <w:u w:val="none"/>
              </w:rPr>
            </w:pPr>
          </w:p>
        </w:tc>
        <w:tc>
          <w:tcPr>
            <w:tcW w:w="1116" w:type="dxa"/>
            <w:tcBorders>
              <w:top w:val="nil"/>
              <w:left w:val="nil"/>
              <w:bottom w:val="nil"/>
              <w:right w:val="nil"/>
            </w:tcBorders>
            <w:shd w:val="clear" w:color="auto" w:fill="auto"/>
            <w:noWrap/>
            <w:vAlign w:val="center"/>
          </w:tcPr>
          <w:p w14:paraId="33DE32F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10DC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5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0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53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77C3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r>
      <w:tr w14:paraId="0D0D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043C">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D28E">
            <w:pPr>
              <w:jc w:val="center"/>
              <w:rPr>
                <w:rFonts w:hint="eastAsia" w:ascii="宋体" w:hAnsi="宋体" w:eastAsia="宋体" w:cs="宋体"/>
                <w:i w:val="0"/>
                <w:iCs w:val="0"/>
                <w:color w:val="000000"/>
                <w:sz w:val="20"/>
                <w:szCs w:val="20"/>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6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71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算拨款收入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78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算拨款收入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A3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预算拨款收入</w:t>
            </w:r>
          </w:p>
        </w:tc>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CB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38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C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c>
          <w:tcPr>
            <w:tcW w:w="4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上年结转结余</w:t>
            </w:r>
          </w:p>
        </w:tc>
      </w:tr>
      <w:tr w14:paraId="68B7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3" w:hRule="atLeast"/>
        </w:trPr>
        <w:tc>
          <w:tcPr>
            <w:tcW w:w="23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E92E">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4268">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0F71">
            <w:pPr>
              <w:jc w:val="center"/>
              <w:rPr>
                <w:rFonts w:hint="eastAsia" w:ascii="宋体" w:hAnsi="宋体" w:eastAsia="宋体" w:cs="宋体"/>
                <w:i w:val="0"/>
                <w:iCs w:val="0"/>
                <w:color w:val="000000"/>
                <w:sz w:val="20"/>
                <w:szCs w:val="20"/>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AFDC8">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59A6F">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7ED6">
            <w:pPr>
              <w:jc w:val="center"/>
              <w:rPr>
                <w:rFonts w:hint="eastAsia" w:ascii="宋体" w:hAnsi="宋体" w:eastAsia="宋体" w:cs="宋体"/>
                <w:i w:val="0"/>
                <w:iCs w:val="0"/>
                <w:color w:val="000000"/>
                <w:sz w:val="20"/>
                <w:szCs w:val="20"/>
                <w:u w:val="none"/>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6ABAD">
            <w:pPr>
              <w:jc w:val="center"/>
              <w:rPr>
                <w:rFonts w:hint="eastAsia" w:ascii="宋体" w:hAnsi="宋体" w:eastAsia="宋体" w:cs="宋体"/>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9D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EA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7C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事业单位经营收入</w:t>
            </w:r>
          </w:p>
        </w:tc>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C5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FB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3F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29DA">
            <w:pPr>
              <w:keepNext w:val="0"/>
              <w:keepLines w:val="0"/>
              <w:widowControl/>
              <w:suppressLineNumbers w:val="0"/>
              <w:jc w:val="center"/>
              <w:textAlignment w:val="center"/>
              <w:rPr>
                <w:rFonts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小计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0355">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一般公共预算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6719">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政府性基金预算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2BA8">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国有资本经营预算</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48C4">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财政专户管理资金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281E">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其他资金</w:t>
            </w:r>
          </w:p>
        </w:tc>
      </w:tr>
      <w:tr w14:paraId="4D28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5903">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合计</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B10B">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59.51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E329">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59.51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0BAB">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59.51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227E">
            <w:pPr>
              <w:rPr>
                <w:rFonts w:hint="default" w:ascii="Calibri" w:hAnsi="Calibri" w:cs="Calibri"/>
                <w:b/>
                <w:bCs/>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3A01">
            <w:pPr>
              <w:rPr>
                <w:rFonts w:hint="default" w:ascii="Calibri" w:hAnsi="Calibri" w:cs="Calibri"/>
                <w:b/>
                <w:bCs/>
                <w:i w:val="0"/>
                <w:iCs w:val="0"/>
                <w:color w:val="000000"/>
                <w:sz w:val="22"/>
                <w:szCs w:val="22"/>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EC57">
            <w:pPr>
              <w:rPr>
                <w:rFonts w:hint="default" w:ascii="Calibri" w:hAnsi="Calibri" w:cs="Calibri"/>
                <w:b/>
                <w:bCs/>
                <w:i w:val="0"/>
                <w:iCs w:val="0"/>
                <w:color w:val="000000"/>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1E85">
            <w:pPr>
              <w:rPr>
                <w:rFonts w:hint="default" w:ascii="Calibri" w:hAnsi="Calibri" w:cs="Calibri"/>
                <w:b/>
                <w:bCs/>
                <w:i w:val="0"/>
                <w:iCs w:val="0"/>
                <w:color w:val="000000"/>
                <w:sz w:val="22"/>
                <w:szCs w:val="22"/>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CD07">
            <w:pPr>
              <w:rPr>
                <w:rFonts w:hint="default" w:ascii="Calibri" w:hAnsi="Calibri" w:cs="Calibri"/>
                <w:b/>
                <w:bCs/>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7B04">
            <w:pPr>
              <w:rPr>
                <w:rFonts w:hint="default" w:ascii="Calibri" w:hAnsi="Calibri" w:cs="Calibri"/>
                <w:b/>
                <w:bCs/>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B7E2">
            <w:pPr>
              <w:rPr>
                <w:rFonts w:hint="default" w:ascii="Calibri" w:hAnsi="Calibri" w:cs="Calibri"/>
                <w:b/>
                <w:bCs/>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B876">
            <w:pPr>
              <w:rPr>
                <w:rFonts w:hint="default" w:ascii="Calibri" w:hAnsi="Calibri" w:cs="Calibri"/>
                <w:b/>
                <w:bCs/>
                <w:i w:val="0"/>
                <w:iCs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5FB9">
            <w:pPr>
              <w:rPr>
                <w:rFonts w:hint="default" w:ascii="Calibri" w:hAnsi="Calibri" w:cs="Calibri"/>
                <w:b/>
                <w:bCs/>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AA49">
            <w:pPr>
              <w:rPr>
                <w:rFonts w:hint="default" w:ascii="Calibri" w:hAnsi="Calibri" w:cs="Calibri"/>
                <w:b/>
                <w:bCs/>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AD46">
            <w:pPr>
              <w:rPr>
                <w:rFonts w:hint="default" w:ascii="Calibri" w:hAnsi="Calibri" w:cs="Calibri"/>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4072">
            <w:pPr>
              <w:rPr>
                <w:rFonts w:hint="default" w:ascii="Calibri" w:hAnsi="Calibri" w:cs="Calibri"/>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AC88">
            <w:pPr>
              <w:rPr>
                <w:rFonts w:hint="default" w:ascii="Calibri" w:hAnsi="Calibri" w:cs="Calibri"/>
                <w:b/>
                <w:bCs/>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5AFD">
            <w:pPr>
              <w:rPr>
                <w:rFonts w:hint="default" w:ascii="Calibri" w:hAnsi="Calibri" w:cs="Calibri"/>
                <w:b/>
                <w:bCs/>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06D8">
            <w:pPr>
              <w:rPr>
                <w:rFonts w:hint="default" w:ascii="Calibri" w:hAnsi="Calibri" w:cs="Calibri"/>
                <w:b/>
                <w:bCs/>
                <w:i w:val="0"/>
                <w:iCs w:val="0"/>
                <w:color w:val="000000"/>
                <w:sz w:val="22"/>
                <w:szCs w:val="22"/>
                <w:u w:val="none"/>
              </w:rPr>
            </w:pPr>
          </w:p>
        </w:tc>
      </w:tr>
      <w:tr w14:paraId="2464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2358" w:type="dxa"/>
            <w:tcBorders>
              <w:top w:val="single" w:color="000000" w:sz="4" w:space="0"/>
              <w:left w:val="single" w:color="000000" w:sz="4" w:space="0"/>
              <w:bottom w:val="single" w:color="auto" w:sz="4" w:space="0"/>
              <w:right w:val="single" w:color="000000" w:sz="4" w:space="0"/>
            </w:tcBorders>
            <w:shd w:val="clear" w:color="auto" w:fill="auto"/>
            <w:vAlign w:val="center"/>
          </w:tcPr>
          <w:p w14:paraId="0CEFA86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黄山市人民代表大会常务委员会办公室</w:t>
            </w:r>
          </w:p>
        </w:tc>
        <w:tc>
          <w:tcPr>
            <w:tcW w:w="7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BFA328">
            <w:pPr>
              <w:keepNext w:val="0"/>
              <w:keepLines w:val="0"/>
              <w:widowControl/>
              <w:suppressLineNumbers w:val="0"/>
              <w:jc w:val="center"/>
              <w:textAlignment w:val="center"/>
              <w:rPr>
                <w:rFonts w:hint="default" w:ascii="Calibri" w:hAnsi="Calibri"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59.51</w:t>
            </w:r>
          </w:p>
        </w:tc>
        <w:tc>
          <w:tcPr>
            <w:tcW w:w="8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79E946">
            <w:pPr>
              <w:keepNext w:val="0"/>
              <w:keepLines w:val="0"/>
              <w:widowControl/>
              <w:suppressLineNumbers w:val="0"/>
              <w:jc w:val="center"/>
              <w:textAlignment w:val="center"/>
              <w:rPr>
                <w:rFonts w:hint="default" w:ascii="Calibri" w:hAnsi="Calibri"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59.51</w:t>
            </w:r>
          </w:p>
        </w:tc>
        <w:tc>
          <w:tcPr>
            <w:tcW w:w="10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800D3C">
            <w:pPr>
              <w:keepNext w:val="0"/>
              <w:keepLines w:val="0"/>
              <w:widowControl/>
              <w:suppressLineNumbers w:val="0"/>
              <w:jc w:val="center"/>
              <w:textAlignment w:val="center"/>
              <w:rPr>
                <w:rFonts w:hint="default" w:ascii="Calibri" w:hAnsi="Calibri"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59.51</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4049130">
            <w:pPr>
              <w:rPr>
                <w:rFonts w:hint="default" w:ascii="Calibri" w:hAnsi="Calibri" w:cs="Calibri"/>
                <w:b/>
                <w:bCs/>
                <w:i w:val="0"/>
                <w:iCs w:val="0"/>
                <w:color w:val="000000"/>
                <w:sz w:val="20"/>
                <w:szCs w:val="20"/>
                <w:u w:val="none"/>
              </w:rPr>
            </w:pP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E9283E">
            <w:pPr>
              <w:rPr>
                <w:rFonts w:hint="default" w:ascii="Calibri" w:hAnsi="Calibri" w:cs="Calibri"/>
                <w:b/>
                <w:bCs/>
                <w:i w:val="0"/>
                <w:iCs w:val="0"/>
                <w:color w:val="000000"/>
                <w:sz w:val="20"/>
                <w:szCs w:val="20"/>
                <w:u w:val="none"/>
              </w:rPr>
            </w:pPr>
          </w:p>
        </w:tc>
        <w:tc>
          <w:tcPr>
            <w:tcW w:w="5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8BE9DD">
            <w:pPr>
              <w:rPr>
                <w:rFonts w:hint="default" w:ascii="Calibri" w:hAnsi="Calibri" w:cs="Calibri"/>
                <w:b/>
                <w:bCs/>
                <w:i w:val="0"/>
                <w:iCs w:val="0"/>
                <w:color w:val="000000"/>
                <w:sz w:val="20"/>
                <w:szCs w:val="20"/>
                <w:u w:val="none"/>
              </w:rPr>
            </w:pPr>
          </w:p>
        </w:tc>
        <w:tc>
          <w:tcPr>
            <w:tcW w:w="5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2E656F0">
            <w:pPr>
              <w:rPr>
                <w:rFonts w:hint="default" w:ascii="Calibri" w:hAnsi="Calibri" w:cs="Calibri"/>
                <w:b/>
                <w:bCs/>
                <w:i w:val="0"/>
                <w:iCs w:val="0"/>
                <w:color w:val="000000"/>
                <w:sz w:val="20"/>
                <w:szCs w:val="20"/>
                <w:u w:val="none"/>
              </w:rPr>
            </w:pPr>
          </w:p>
        </w:tc>
        <w:tc>
          <w:tcPr>
            <w:tcW w:w="5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D2E94E">
            <w:pPr>
              <w:rPr>
                <w:rFonts w:hint="default" w:ascii="Calibri" w:hAnsi="Calibri" w:cs="Calibri"/>
                <w:b/>
                <w:bCs/>
                <w:i w:val="0"/>
                <w:iCs w:val="0"/>
                <w:color w:val="000000"/>
                <w:sz w:val="20"/>
                <w:szCs w:val="20"/>
                <w:u w:val="none"/>
              </w:rPr>
            </w:pPr>
          </w:p>
        </w:tc>
        <w:tc>
          <w:tcPr>
            <w:tcW w:w="7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DF17D20">
            <w:pPr>
              <w:rPr>
                <w:rFonts w:hint="default" w:ascii="Calibri" w:hAnsi="Calibri" w:cs="Calibri"/>
                <w:b/>
                <w:bCs/>
                <w:i w:val="0"/>
                <w:iCs w:val="0"/>
                <w:color w:val="000000"/>
                <w:sz w:val="20"/>
                <w:szCs w:val="20"/>
                <w:u w:val="none"/>
              </w:rPr>
            </w:pPr>
          </w:p>
        </w:tc>
        <w:tc>
          <w:tcPr>
            <w:tcW w:w="6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043ACB1">
            <w:pPr>
              <w:rPr>
                <w:rFonts w:hint="default" w:ascii="Calibri" w:hAnsi="Calibri" w:cs="Calibri"/>
                <w:b/>
                <w:bCs/>
                <w:i w:val="0"/>
                <w:iCs w:val="0"/>
                <w:color w:val="000000"/>
                <w:sz w:val="20"/>
                <w:szCs w:val="20"/>
                <w:u w:val="none"/>
              </w:rPr>
            </w:pP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0C6F18">
            <w:pPr>
              <w:rPr>
                <w:rFonts w:hint="default" w:ascii="Calibri" w:hAnsi="Calibri" w:cs="Calibri"/>
                <w:b/>
                <w:bCs/>
                <w:i w:val="0"/>
                <w:iCs w:val="0"/>
                <w:color w:val="000000"/>
                <w:sz w:val="20"/>
                <w:szCs w:val="20"/>
                <w:u w:val="none"/>
              </w:rPr>
            </w:pPr>
          </w:p>
        </w:tc>
        <w:tc>
          <w:tcPr>
            <w:tcW w:w="7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D8A936">
            <w:pPr>
              <w:rPr>
                <w:rFonts w:hint="default" w:ascii="Calibri" w:hAnsi="Calibri" w:cs="Calibri"/>
                <w:b/>
                <w:bCs/>
                <w:i w:val="0"/>
                <w:iCs w:val="0"/>
                <w:color w:val="000000"/>
                <w:sz w:val="20"/>
                <w:szCs w:val="20"/>
                <w:u w:val="none"/>
              </w:rPr>
            </w:pPr>
          </w:p>
        </w:tc>
        <w:tc>
          <w:tcPr>
            <w:tcW w:w="8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7F3FBB">
            <w:pPr>
              <w:rPr>
                <w:rFonts w:hint="default" w:ascii="Calibri" w:hAnsi="Calibri" w:cs="Calibri"/>
                <w:b/>
                <w:bCs/>
                <w:i w:val="0"/>
                <w:iCs w:val="0"/>
                <w:color w:val="000000"/>
                <w:sz w:val="20"/>
                <w:szCs w:val="20"/>
                <w:u w:val="none"/>
              </w:rPr>
            </w:pPr>
          </w:p>
        </w:tc>
        <w:tc>
          <w:tcPr>
            <w:tcW w:w="79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BAC169">
            <w:pPr>
              <w:rPr>
                <w:rFonts w:hint="default" w:ascii="Calibri" w:hAnsi="Calibri" w:cs="Calibri"/>
                <w:b/>
                <w:bCs/>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01C8381">
            <w:pPr>
              <w:rPr>
                <w:rFonts w:hint="default" w:ascii="Calibri" w:hAnsi="Calibri" w:cs="Calibri"/>
                <w:b/>
                <w:bCs/>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9DB5EE">
            <w:pPr>
              <w:rPr>
                <w:rFonts w:hint="default" w:ascii="Calibri" w:hAnsi="Calibri" w:cs="Calibri"/>
                <w:b/>
                <w:bCs/>
                <w:i w:val="0"/>
                <w:iCs w:val="0"/>
                <w:color w:val="000000"/>
                <w:sz w:val="20"/>
                <w:szCs w:val="20"/>
                <w:u w:val="none"/>
              </w:rPr>
            </w:pPr>
          </w:p>
        </w:tc>
        <w:tc>
          <w:tcPr>
            <w:tcW w:w="7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39DA99">
            <w:pPr>
              <w:rPr>
                <w:rFonts w:hint="default" w:ascii="Calibri" w:hAnsi="Calibri" w:cs="Calibri"/>
                <w:b/>
                <w:bCs/>
                <w:i w:val="0"/>
                <w:iCs w:val="0"/>
                <w:color w:val="000000"/>
                <w:sz w:val="20"/>
                <w:szCs w:val="20"/>
                <w:u w:val="none"/>
              </w:rPr>
            </w:pPr>
          </w:p>
        </w:tc>
        <w:tc>
          <w:tcPr>
            <w:tcW w:w="11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E96544">
            <w:pPr>
              <w:rPr>
                <w:rFonts w:hint="default" w:ascii="Calibri" w:hAnsi="Calibri" w:cs="Calibri"/>
                <w:b/>
                <w:bCs/>
                <w:i w:val="0"/>
                <w:iCs w:val="0"/>
                <w:color w:val="000000"/>
                <w:sz w:val="20"/>
                <w:szCs w:val="20"/>
                <w:u w:val="none"/>
              </w:rPr>
            </w:pPr>
          </w:p>
        </w:tc>
      </w:tr>
      <w:tr w14:paraId="0290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484CF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黄山市人大预算联网监督中心</w:t>
            </w:r>
          </w:p>
        </w:tc>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C0430">
            <w:pPr>
              <w:keepNext w:val="0"/>
              <w:keepLines w:val="0"/>
              <w:widowControl/>
              <w:suppressLineNumbers w:val="0"/>
              <w:jc w:val="center"/>
              <w:textAlignment w:val="center"/>
              <w:rPr>
                <w:rFonts w:hint="default" w:ascii="Calibri" w:hAnsi="Calibri"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59.51</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A9216">
            <w:pPr>
              <w:keepNext w:val="0"/>
              <w:keepLines w:val="0"/>
              <w:widowControl/>
              <w:suppressLineNumbers w:val="0"/>
              <w:jc w:val="center"/>
              <w:textAlignment w:val="center"/>
              <w:rPr>
                <w:rFonts w:hint="default" w:ascii="Calibri" w:hAnsi="Calibri"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59.51</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3D2A6">
            <w:pPr>
              <w:keepNext w:val="0"/>
              <w:keepLines w:val="0"/>
              <w:widowControl/>
              <w:suppressLineNumbers w:val="0"/>
              <w:jc w:val="center"/>
              <w:textAlignment w:val="center"/>
              <w:rPr>
                <w:rFonts w:hint="default" w:ascii="Calibri" w:hAnsi="Calibri"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59.51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4065B">
            <w:pPr>
              <w:rPr>
                <w:rFonts w:hint="default" w:ascii="Calibri" w:hAnsi="Calibri" w:cs="Calibri"/>
                <w:i w:val="0"/>
                <w:iCs w:val="0"/>
                <w:color w:val="000000"/>
                <w:sz w:val="20"/>
                <w:szCs w:val="20"/>
                <w:u w:val="none"/>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30D94">
            <w:pPr>
              <w:rPr>
                <w:rFonts w:hint="default" w:ascii="Calibri" w:hAnsi="Calibri" w:cs="Calibri"/>
                <w:i w:val="0"/>
                <w:iCs w:val="0"/>
                <w:color w:val="000000"/>
                <w:sz w:val="20"/>
                <w:szCs w:val="20"/>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8866A">
            <w:pPr>
              <w:rPr>
                <w:rFonts w:hint="default" w:ascii="Calibri" w:hAnsi="Calibri" w:cs="Calibri"/>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54F9D">
            <w:pPr>
              <w:rPr>
                <w:rFonts w:hint="default" w:ascii="Calibri" w:hAnsi="Calibri" w:cs="Calibri"/>
                <w:i w:val="0"/>
                <w:iCs w:val="0"/>
                <w:color w:val="000000"/>
                <w:sz w:val="20"/>
                <w:szCs w:val="20"/>
                <w:u w:val="none"/>
              </w:rPr>
            </w:pPr>
          </w:p>
        </w:tc>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BE472">
            <w:pPr>
              <w:rPr>
                <w:rFonts w:hint="default" w:ascii="Calibri" w:hAnsi="Calibri" w:cs="Calibri"/>
                <w:i w:val="0"/>
                <w:iCs w:val="0"/>
                <w:color w:val="000000"/>
                <w:sz w:val="20"/>
                <w:szCs w:val="20"/>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3E45D">
            <w:pPr>
              <w:rPr>
                <w:rFonts w:hint="default" w:ascii="Calibri" w:hAnsi="Calibri" w:cs="Calibri"/>
                <w:i w:val="0"/>
                <w:iCs w:val="0"/>
                <w:color w:val="000000"/>
                <w:sz w:val="20"/>
                <w:szCs w:val="20"/>
                <w:u w:val="none"/>
              </w:rPr>
            </w:pPr>
          </w:p>
        </w:tc>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3FF62">
            <w:pPr>
              <w:rPr>
                <w:rFonts w:hint="default" w:ascii="Calibri" w:hAnsi="Calibri" w:cs="Calibri"/>
                <w:i w:val="0"/>
                <w:iCs w:val="0"/>
                <w:color w:val="000000"/>
                <w:sz w:val="20"/>
                <w:szCs w:val="20"/>
                <w:u w:val="none"/>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5E4B">
            <w:pPr>
              <w:rPr>
                <w:rFonts w:hint="default" w:ascii="Calibri" w:hAnsi="Calibri" w:cs="Calibri"/>
                <w:i w:val="0"/>
                <w:iCs w:val="0"/>
                <w:color w:val="000000"/>
                <w:sz w:val="20"/>
                <w:szCs w:val="20"/>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64B0F">
            <w:pPr>
              <w:rPr>
                <w:rFonts w:hint="default" w:ascii="Calibri" w:hAnsi="Calibri" w:cs="Calibri"/>
                <w:i w:val="0"/>
                <w:iCs w:val="0"/>
                <w:color w:val="000000"/>
                <w:sz w:val="20"/>
                <w:szCs w:val="20"/>
                <w:u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38A30">
            <w:pPr>
              <w:rPr>
                <w:rFonts w:hint="default" w:ascii="Calibri" w:hAnsi="Calibri" w:cs="Calibri"/>
                <w:i w:val="0"/>
                <w:iCs w:val="0"/>
                <w:color w:val="000000"/>
                <w:sz w:val="20"/>
                <w:szCs w:val="20"/>
                <w:u w:val="none"/>
              </w:rPr>
            </w:pP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5B60F">
            <w:pPr>
              <w:rPr>
                <w:rFonts w:hint="default" w:ascii="Calibri" w:hAnsi="Calibri" w:cs="Calibri"/>
                <w:i w:val="0"/>
                <w:iCs w:val="0"/>
                <w:color w:val="000000"/>
                <w:sz w:val="20"/>
                <w:szCs w:val="20"/>
                <w:u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A9C21">
            <w:pPr>
              <w:rPr>
                <w:rFonts w:hint="default" w:ascii="Calibri" w:hAnsi="Calibri" w:cs="Calibri"/>
                <w:i w:val="0"/>
                <w:iCs w:val="0"/>
                <w:color w:val="000000"/>
                <w:sz w:val="20"/>
                <w:szCs w:val="20"/>
                <w:u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FBDE0">
            <w:pPr>
              <w:rPr>
                <w:rFonts w:hint="default" w:ascii="Calibri" w:hAnsi="Calibri" w:cs="Calibri"/>
                <w:i w:val="0"/>
                <w:iCs w:val="0"/>
                <w:color w:val="000000"/>
                <w:sz w:val="20"/>
                <w:szCs w:val="20"/>
                <w:u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77EE7">
            <w:pPr>
              <w:rPr>
                <w:rFonts w:hint="default" w:ascii="Calibri" w:hAnsi="Calibri" w:cs="Calibri"/>
                <w:i w:val="0"/>
                <w:iCs w:val="0"/>
                <w:color w:val="000000"/>
                <w:sz w:val="20"/>
                <w:szCs w:val="20"/>
                <w:u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4B02D">
            <w:pPr>
              <w:rPr>
                <w:rFonts w:hint="default" w:ascii="Calibri" w:hAnsi="Calibri" w:cs="Calibri"/>
                <w:i w:val="0"/>
                <w:iCs w:val="0"/>
                <w:color w:val="000000"/>
                <w:sz w:val="20"/>
                <w:szCs w:val="20"/>
                <w:u w:val="none"/>
              </w:rPr>
            </w:pPr>
          </w:p>
        </w:tc>
      </w:tr>
      <w:tr w14:paraId="768E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5645" w:type="dxa"/>
            <w:gridSpan w:val="19"/>
            <w:tcBorders>
              <w:top w:val="single" w:color="auto" w:sz="4" w:space="0"/>
              <w:left w:val="nil"/>
              <w:bottom w:val="nil"/>
              <w:right w:val="nil"/>
            </w:tcBorders>
            <w:shd w:val="clear" w:color="auto" w:fill="auto"/>
            <w:vAlign w:val="center"/>
          </w:tcPr>
          <w:tbl>
            <w:tblPr>
              <w:tblStyle w:val="8"/>
              <w:tblW w:w="15530" w:type="dxa"/>
              <w:tblInd w:w="-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30"/>
            </w:tblGrid>
            <w:tr w14:paraId="330C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5530" w:type="dxa"/>
                  <w:tcBorders>
                    <w:top w:val="nil"/>
                    <w:left w:val="nil"/>
                    <w:bottom w:val="nil"/>
                    <w:right w:val="nil"/>
                  </w:tcBorders>
                  <w:shd w:val="clear" w:color="auto" w:fill="auto"/>
                  <w:noWrap/>
                  <w:vAlign w:val="center"/>
                </w:tcPr>
                <w:p w14:paraId="6F6F6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注：本表反映单位各项预算收入情况。</w:t>
                  </w:r>
                </w:p>
              </w:tc>
            </w:tr>
          </w:tbl>
          <w:p w14:paraId="765F851F">
            <w:pPr>
              <w:tabs>
                <w:tab w:val="left" w:pos="758"/>
              </w:tabs>
              <w:rPr>
                <w:rFonts w:hint="eastAsia" w:ascii="Calibri" w:hAnsi="Calibri" w:eastAsia="仿宋_GB2312" w:cs="Calibri"/>
                <w:i w:val="0"/>
                <w:iCs w:val="0"/>
                <w:color w:val="000000"/>
                <w:sz w:val="20"/>
                <w:szCs w:val="20"/>
                <w:u w:val="none"/>
                <w:lang w:eastAsia="zh-CN"/>
              </w:rPr>
            </w:pPr>
          </w:p>
        </w:tc>
      </w:tr>
    </w:tbl>
    <w:p w14:paraId="746D6371">
      <w:pPr>
        <w:jc w:val="distribute"/>
        <w:rPr>
          <w:rFonts w:hint="default" w:ascii="Calibri" w:hAnsi="Calibri" w:cs="Calibri"/>
          <w:i w:val="0"/>
          <w:iCs w:val="0"/>
          <w:color w:val="000000"/>
          <w:sz w:val="22"/>
          <w:szCs w:val="22"/>
          <w:u w:val="none"/>
          <w:lang w:val="en-US" w:eastAsia="zh-CN"/>
        </w:rPr>
      </w:pPr>
      <w:r>
        <w:rPr>
          <w:rFonts w:hint="default" w:ascii="Calibri" w:hAnsi="Calibri" w:cs="Calibri"/>
          <w:i w:val="0"/>
          <w:iCs w:val="0"/>
          <w:color w:val="000000"/>
          <w:sz w:val="22"/>
          <w:szCs w:val="22"/>
          <w:u w:val="none"/>
          <w:lang w:val="en-US" w:eastAsia="zh-CN"/>
        </w:rPr>
        <w:br w:type="page"/>
      </w:r>
    </w:p>
    <w:p w14:paraId="6CA0E26F">
      <w:pPr>
        <w:rPr>
          <w:rFonts w:hint="default" w:ascii="Calibri" w:hAnsi="Calibri" w:cs="Calibri"/>
          <w:i w:val="0"/>
          <w:iCs w:val="0"/>
          <w:color w:val="000000"/>
          <w:sz w:val="22"/>
          <w:szCs w:val="22"/>
          <w:u w:val="none"/>
          <w:lang w:val="en-US" w:eastAsia="zh-CN"/>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decimal"/>
          <w:cols w:space="720" w:num="1"/>
          <w:rtlGutter w:val="0"/>
          <w:docGrid w:type="linesAndChars" w:linePitch="437" w:charSpace="2555"/>
        </w:sectPr>
      </w:pPr>
    </w:p>
    <w:p w14:paraId="0C764130">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begin"/>
      </w:r>
      <w:r>
        <w:instrText xml:space="preserve"> LINK Excel.Sheet.8 "C:\\Users\\apple\\Desktop\\2024年预算公开\\预算中心\\黄山市2024年部门预算公开表（包含结转）_(003002)黄山市人大预算联网监督中心.xls" "表三、支出预算总表!R1C1:R22C5" \h \a </w:instrText>
      </w:r>
      <w:r>
        <w:rPr>
          <w:rFonts w:hint="eastAsia" w:ascii="TimesNewRoman" w:hAnsi="TimesNewRoman" w:eastAsia="黑体" w:cs="TimesNewRoman"/>
          <w:bCs/>
          <w:sz w:val="36"/>
          <w:szCs w:val="36"/>
          <w:lang w:eastAsia="zh-CN"/>
        </w:rPr>
        <w:fldChar w:fldCharType="separate"/>
      </w:r>
    </w:p>
    <w:tbl>
      <w:tblPr>
        <w:tblStyle w:val="8"/>
        <w:tblW w:w="9750" w:type="dxa"/>
        <w:tblInd w:w="-5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5"/>
        <w:gridCol w:w="3345"/>
        <w:gridCol w:w="1500"/>
        <w:gridCol w:w="1545"/>
        <w:gridCol w:w="1515"/>
      </w:tblGrid>
      <w:tr w14:paraId="038C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45" w:type="dxa"/>
            <w:tcBorders>
              <w:top w:val="nil"/>
              <w:left w:val="nil"/>
              <w:bottom w:val="nil"/>
              <w:right w:val="nil"/>
            </w:tcBorders>
            <w:shd w:val="clear" w:color="auto" w:fill="auto"/>
            <w:noWrap/>
            <w:vAlign w:val="bottom"/>
          </w:tcPr>
          <w:p w14:paraId="2912679D">
            <w:pPr>
              <w:rPr>
                <w:rFonts w:hint="eastAsia" w:ascii="Arial" w:hAnsi="Arial" w:cs="Arial"/>
                <w:i w:val="0"/>
                <w:iCs w:val="0"/>
                <w:color w:val="000000"/>
                <w:sz w:val="20"/>
                <w:szCs w:val="20"/>
                <w:u w:val="none"/>
              </w:rPr>
            </w:pPr>
          </w:p>
        </w:tc>
        <w:tc>
          <w:tcPr>
            <w:tcW w:w="3345" w:type="dxa"/>
            <w:tcBorders>
              <w:top w:val="nil"/>
              <w:left w:val="nil"/>
              <w:bottom w:val="nil"/>
              <w:right w:val="nil"/>
            </w:tcBorders>
            <w:shd w:val="clear" w:color="auto" w:fill="auto"/>
            <w:noWrap/>
            <w:vAlign w:val="bottom"/>
          </w:tcPr>
          <w:p w14:paraId="6E5D43C1">
            <w:pPr>
              <w:rPr>
                <w:rFonts w:hint="default" w:ascii="Arial" w:hAnsi="Arial" w:cs="Arial"/>
                <w:i w:val="0"/>
                <w:iCs w:val="0"/>
                <w:color w:val="000000"/>
                <w:sz w:val="20"/>
                <w:szCs w:val="20"/>
                <w:u w:val="none"/>
              </w:rPr>
            </w:pPr>
          </w:p>
        </w:tc>
        <w:tc>
          <w:tcPr>
            <w:tcW w:w="1500" w:type="dxa"/>
            <w:tcBorders>
              <w:top w:val="nil"/>
              <w:left w:val="nil"/>
              <w:bottom w:val="nil"/>
              <w:right w:val="nil"/>
            </w:tcBorders>
            <w:shd w:val="clear" w:color="auto" w:fill="auto"/>
            <w:noWrap/>
            <w:vAlign w:val="bottom"/>
          </w:tcPr>
          <w:p w14:paraId="5B168F3A">
            <w:pPr>
              <w:rPr>
                <w:rFonts w:hint="default" w:ascii="Arial" w:hAnsi="Arial" w:cs="Arial"/>
                <w:i w:val="0"/>
                <w:iCs w:val="0"/>
                <w:color w:val="000000"/>
                <w:sz w:val="20"/>
                <w:szCs w:val="20"/>
                <w:u w:val="none"/>
              </w:rPr>
            </w:pPr>
          </w:p>
        </w:tc>
        <w:tc>
          <w:tcPr>
            <w:tcW w:w="1545" w:type="dxa"/>
            <w:tcBorders>
              <w:top w:val="nil"/>
              <w:left w:val="nil"/>
              <w:bottom w:val="nil"/>
              <w:right w:val="nil"/>
            </w:tcBorders>
            <w:shd w:val="clear" w:color="auto" w:fill="auto"/>
            <w:noWrap/>
            <w:vAlign w:val="bottom"/>
          </w:tcPr>
          <w:p w14:paraId="513595B1">
            <w:pPr>
              <w:rPr>
                <w:rFonts w:hint="default" w:ascii="Arial" w:hAnsi="Arial" w:cs="Arial"/>
                <w:i w:val="0"/>
                <w:iCs w:val="0"/>
                <w:color w:val="000000"/>
                <w:sz w:val="20"/>
                <w:szCs w:val="20"/>
                <w:u w:val="none"/>
              </w:rPr>
            </w:pPr>
          </w:p>
        </w:tc>
        <w:tc>
          <w:tcPr>
            <w:tcW w:w="1515" w:type="dxa"/>
            <w:tcBorders>
              <w:top w:val="nil"/>
              <w:left w:val="nil"/>
              <w:bottom w:val="nil"/>
              <w:right w:val="nil"/>
            </w:tcBorders>
            <w:shd w:val="clear" w:color="auto" w:fill="auto"/>
            <w:noWrap/>
            <w:vAlign w:val="center"/>
          </w:tcPr>
          <w:p w14:paraId="51C5AF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单位公开表3</w:t>
            </w:r>
          </w:p>
        </w:tc>
      </w:tr>
      <w:tr w14:paraId="78DF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50" w:type="dxa"/>
            <w:gridSpan w:val="5"/>
            <w:tcBorders>
              <w:top w:val="nil"/>
              <w:left w:val="nil"/>
              <w:bottom w:val="nil"/>
              <w:right w:val="nil"/>
            </w:tcBorders>
            <w:shd w:val="clear" w:color="auto" w:fill="auto"/>
            <w:noWrap/>
            <w:vAlign w:val="center"/>
          </w:tcPr>
          <w:p w14:paraId="53560C7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表三、2024年支出总表</w:t>
            </w:r>
          </w:p>
        </w:tc>
      </w:tr>
      <w:tr w14:paraId="01E5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90" w:type="dxa"/>
            <w:gridSpan w:val="2"/>
            <w:tcBorders>
              <w:top w:val="nil"/>
              <w:left w:val="nil"/>
              <w:bottom w:val="nil"/>
              <w:right w:val="nil"/>
            </w:tcBorders>
            <w:shd w:val="clear" w:color="auto" w:fill="auto"/>
            <w:noWrap/>
            <w:vAlign w:val="center"/>
          </w:tcPr>
          <w:p w14:paraId="66E09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1500" w:type="dxa"/>
            <w:tcBorders>
              <w:top w:val="nil"/>
              <w:left w:val="nil"/>
              <w:bottom w:val="nil"/>
              <w:right w:val="nil"/>
            </w:tcBorders>
            <w:shd w:val="clear" w:color="auto" w:fill="auto"/>
            <w:noWrap/>
            <w:vAlign w:val="center"/>
          </w:tcPr>
          <w:p w14:paraId="0EF2E78A">
            <w:pPr>
              <w:rPr>
                <w:rFonts w:hint="eastAsia" w:ascii="宋体" w:hAnsi="宋体" w:eastAsia="宋体" w:cs="宋体"/>
                <w:i w:val="0"/>
                <w:iCs w:val="0"/>
                <w:color w:val="000000"/>
                <w:sz w:val="18"/>
                <w:szCs w:val="18"/>
                <w:u w:val="none"/>
              </w:rPr>
            </w:pPr>
          </w:p>
        </w:tc>
        <w:tc>
          <w:tcPr>
            <w:tcW w:w="1545" w:type="dxa"/>
            <w:tcBorders>
              <w:top w:val="nil"/>
              <w:left w:val="nil"/>
              <w:bottom w:val="nil"/>
              <w:right w:val="nil"/>
            </w:tcBorders>
            <w:shd w:val="clear" w:color="auto" w:fill="auto"/>
            <w:noWrap/>
            <w:vAlign w:val="center"/>
          </w:tcPr>
          <w:p w14:paraId="1A71D4D8">
            <w:pPr>
              <w:rPr>
                <w:rFonts w:hint="eastAsia" w:ascii="宋体" w:hAnsi="宋体" w:eastAsia="宋体" w:cs="宋体"/>
                <w:i w:val="0"/>
                <w:iCs w:val="0"/>
                <w:color w:val="000000"/>
                <w:sz w:val="18"/>
                <w:szCs w:val="18"/>
                <w:u w:val="none"/>
              </w:rPr>
            </w:pPr>
          </w:p>
        </w:tc>
        <w:tc>
          <w:tcPr>
            <w:tcW w:w="1515" w:type="dxa"/>
            <w:tcBorders>
              <w:top w:val="nil"/>
              <w:left w:val="nil"/>
              <w:bottom w:val="nil"/>
              <w:right w:val="nil"/>
            </w:tcBorders>
            <w:shd w:val="clear" w:color="auto" w:fill="auto"/>
            <w:noWrap/>
            <w:vAlign w:val="center"/>
          </w:tcPr>
          <w:p w14:paraId="2C76F5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47B5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A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功能科目编码</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B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2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0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9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00C4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264C">
            <w:pPr>
              <w:rPr>
                <w:rFonts w:hint="eastAsia" w:ascii="宋体" w:hAnsi="宋体" w:eastAsia="宋体" w:cs="宋体"/>
                <w:b/>
                <w:bCs/>
                <w:i w:val="0"/>
                <w:iCs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97D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CB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9F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54.76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52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4.75</w:t>
            </w:r>
          </w:p>
        </w:tc>
      </w:tr>
      <w:tr w14:paraId="06F8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0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B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A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9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3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r>
      <w:tr w14:paraId="7F0C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E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9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7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9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0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r>
      <w:tr w14:paraId="3DAC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B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2010150</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B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9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0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E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r>
      <w:tr w14:paraId="04A0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2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4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A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2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3248">
            <w:pPr>
              <w:jc w:val="center"/>
              <w:rPr>
                <w:rFonts w:hint="eastAsia" w:ascii="宋体" w:hAnsi="宋体" w:eastAsia="宋体" w:cs="宋体"/>
                <w:i w:val="0"/>
                <w:iCs w:val="0"/>
                <w:color w:val="000000"/>
                <w:sz w:val="18"/>
                <w:szCs w:val="18"/>
                <w:u w:val="none"/>
              </w:rPr>
            </w:pPr>
          </w:p>
        </w:tc>
      </w:tr>
      <w:tr w14:paraId="5258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2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2013699</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1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C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A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0116">
            <w:pPr>
              <w:jc w:val="center"/>
              <w:rPr>
                <w:rFonts w:hint="eastAsia" w:ascii="宋体" w:hAnsi="宋体" w:eastAsia="宋体" w:cs="宋体"/>
                <w:i w:val="0"/>
                <w:iCs w:val="0"/>
                <w:color w:val="000000"/>
                <w:sz w:val="18"/>
                <w:szCs w:val="18"/>
                <w:u w:val="none"/>
              </w:rPr>
            </w:pPr>
          </w:p>
        </w:tc>
      </w:tr>
      <w:tr w14:paraId="08C8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5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9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A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E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3845">
            <w:pPr>
              <w:jc w:val="center"/>
              <w:rPr>
                <w:rFonts w:hint="eastAsia" w:ascii="宋体" w:hAnsi="宋体" w:eastAsia="宋体" w:cs="宋体"/>
                <w:i w:val="0"/>
                <w:iCs w:val="0"/>
                <w:color w:val="000000"/>
                <w:sz w:val="18"/>
                <w:szCs w:val="18"/>
                <w:u w:val="none"/>
              </w:rPr>
            </w:pPr>
          </w:p>
        </w:tc>
      </w:tr>
      <w:tr w14:paraId="1463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C8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C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0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4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D09A">
            <w:pPr>
              <w:jc w:val="center"/>
              <w:rPr>
                <w:rFonts w:hint="eastAsia" w:ascii="宋体" w:hAnsi="宋体" w:eastAsia="宋体" w:cs="宋体"/>
                <w:i w:val="0"/>
                <w:iCs w:val="0"/>
                <w:color w:val="000000"/>
                <w:sz w:val="18"/>
                <w:szCs w:val="18"/>
                <w:u w:val="none"/>
              </w:rPr>
            </w:pPr>
          </w:p>
        </w:tc>
      </w:tr>
      <w:tr w14:paraId="022A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7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0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4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1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6726">
            <w:pPr>
              <w:jc w:val="center"/>
              <w:rPr>
                <w:rFonts w:hint="eastAsia" w:ascii="宋体" w:hAnsi="宋体" w:eastAsia="宋体" w:cs="宋体"/>
                <w:i w:val="0"/>
                <w:iCs w:val="0"/>
                <w:color w:val="000000"/>
                <w:sz w:val="18"/>
                <w:szCs w:val="18"/>
                <w:u w:val="none"/>
              </w:rPr>
            </w:pPr>
          </w:p>
        </w:tc>
      </w:tr>
      <w:tr w14:paraId="747E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0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2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2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1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104C">
            <w:pPr>
              <w:jc w:val="center"/>
              <w:rPr>
                <w:rFonts w:hint="eastAsia" w:ascii="宋体" w:hAnsi="宋体" w:eastAsia="宋体" w:cs="宋体"/>
                <w:i w:val="0"/>
                <w:iCs w:val="0"/>
                <w:color w:val="000000"/>
                <w:sz w:val="18"/>
                <w:szCs w:val="18"/>
                <w:u w:val="none"/>
              </w:rPr>
            </w:pPr>
          </w:p>
        </w:tc>
      </w:tr>
      <w:tr w14:paraId="4840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6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8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5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D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EE03">
            <w:pPr>
              <w:jc w:val="center"/>
              <w:rPr>
                <w:rFonts w:hint="eastAsia" w:ascii="宋体" w:hAnsi="宋体" w:eastAsia="宋体" w:cs="宋体"/>
                <w:i w:val="0"/>
                <w:iCs w:val="0"/>
                <w:color w:val="000000"/>
                <w:sz w:val="18"/>
                <w:szCs w:val="18"/>
                <w:u w:val="none"/>
              </w:rPr>
            </w:pPr>
          </w:p>
        </w:tc>
      </w:tr>
      <w:tr w14:paraId="6BA1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E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9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3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F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1633">
            <w:pPr>
              <w:jc w:val="center"/>
              <w:rPr>
                <w:rFonts w:hint="eastAsia" w:ascii="宋体" w:hAnsi="宋体" w:eastAsia="宋体" w:cs="宋体"/>
                <w:i w:val="0"/>
                <w:iCs w:val="0"/>
                <w:color w:val="000000"/>
                <w:sz w:val="18"/>
                <w:szCs w:val="18"/>
                <w:u w:val="none"/>
              </w:rPr>
            </w:pPr>
          </w:p>
        </w:tc>
      </w:tr>
      <w:tr w14:paraId="515D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0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E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A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6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1B6B">
            <w:pPr>
              <w:jc w:val="center"/>
              <w:rPr>
                <w:rFonts w:hint="eastAsia" w:ascii="宋体" w:hAnsi="宋体" w:eastAsia="宋体" w:cs="宋体"/>
                <w:i w:val="0"/>
                <w:iCs w:val="0"/>
                <w:color w:val="000000"/>
                <w:sz w:val="18"/>
                <w:szCs w:val="18"/>
                <w:u w:val="none"/>
              </w:rPr>
            </w:pPr>
          </w:p>
        </w:tc>
      </w:tr>
      <w:tr w14:paraId="2F7E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8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2101199</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1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4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1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9EA6">
            <w:pPr>
              <w:jc w:val="center"/>
              <w:rPr>
                <w:rFonts w:hint="eastAsia" w:ascii="宋体" w:hAnsi="宋体" w:eastAsia="宋体" w:cs="宋体"/>
                <w:i w:val="0"/>
                <w:iCs w:val="0"/>
                <w:color w:val="000000"/>
                <w:sz w:val="18"/>
                <w:szCs w:val="18"/>
                <w:u w:val="none"/>
              </w:rPr>
            </w:pPr>
          </w:p>
        </w:tc>
      </w:tr>
      <w:tr w14:paraId="7EDE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A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4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5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1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FD78">
            <w:pPr>
              <w:jc w:val="center"/>
              <w:rPr>
                <w:rFonts w:hint="eastAsia" w:ascii="宋体" w:hAnsi="宋体" w:eastAsia="宋体" w:cs="宋体"/>
                <w:i w:val="0"/>
                <w:iCs w:val="0"/>
                <w:color w:val="000000"/>
                <w:sz w:val="18"/>
                <w:szCs w:val="18"/>
                <w:u w:val="none"/>
              </w:rPr>
            </w:pPr>
          </w:p>
        </w:tc>
      </w:tr>
      <w:tr w14:paraId="0E89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D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55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6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B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9257">
            <w:pPr>
              <w:jc w:val="center"/>
              <w:rPr>
                <w:rFonts w:hint="eastAsia" w:ascii="宋体" w:hAnsi="宋体" w:eastAsia="宋体" w:cs="宋体"/>
                <w:i w:val="0"/>
                <w:iCs w:val="0"/>
                <w:color w:val="000000"/>
                <w:sz w:val="18"/>
                <w:szCs w:val="18"/>
                <w:u w:val="none"/>
              </w:rPr>
            </w:pPr>
          </w:p>
        </w:tc>
      </w:tr>
      <w:tr w14:paraId="77F8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3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02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0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E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2289">
            <w:pPr>
              <w:jc w:val="center"/>
              <w:rPr>
                <w:rFonts w:hint="eastAsia" w:ascii="宋体" w:hAnsi="宋体" w:eastAsia="宋体" w:cs="宋体"/>
                <w:i w:val="0"/>
                <w:iCs w:val="0"/>
                <w:color w:val="000000"/>
                <w:sz w:val="18"/>
                <w:szCs w:val="18"/>
                <w:u w:val="none"/>
              </w:rPr>
            </w:pPr>
          </w:p>
        </w:tc>
      </w:tr>
      <w:tr w14:paraId="5B66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50" w:type="dxa"/>
            <w:gridSpan w:val="5"/>
            <w:tcBorders>
              <w:top w:val="nil"/>
              <w:left w:val="nil"/>
              <w:bottom w:val="nil"/>
              <w:right w:val="nil"/>
            </w:tcBorders>
            <w:shd w:val="clear" w:color="auto" w:fill="auto"/>
            <w:noWrap/>
            <w:vAlign w:val="center"/>
          </w:tcPr>
          <w:p w14:paraId="24A30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注：本表反映单位本年各项支出预算情况。</w:t>
            </w:r>
          </w:p>
        </w:tc>
      </w:tr>
    </w:tbl>
    <w:p w14:paraId="33D5AA63">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end"/>
      </w:r>
    </w:p>
    <w:p w14:paraId="1E460A41">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30DEA672">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28D57272">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0969ADA3">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5BB34212">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1AC6B012">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30CC5F0E">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0B72CA6E">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begin"/>
      </w:r>
      <w:r>
        <w:instrText xml:space="preserve"> LINK Excel.Sheet.8 "C:\\Users\\apple\\Desktop\\2024年预算公开\\预算中心\\黄山市2024年部门预算公开表（包含结转）_(003002)黄山市人大预算联网监督中心.xls" "表四、财政拨款预算收支总表!R1C1:R43C7" \h \a </w:instrText>
      </w:r>
      <w:r>
        <w:rPr>
          <w:rFonts w:hint="eastAsia" w:ascii="TimesNewRoman" w:hAnsi="TimesNewRoman" w:eastAsia="黑体" w:cs="TimesNewRoman"/>
          <w:bCs/>
          <w:sz w:val="36"/>
          <w:szCs w:val="36"/>
          <w:lang w:eastAsia="zh-CN"/>
        </w:rPr>
        <w:fldChar w:fldCharType="separate"/>
      </w:r>
    </w:p>
    <w:tbl>
      <w:tblPr>
        <w:tblStyle w:val="8"/>
        <w:tblW w:w="9900" w:type="dxa"/>
        <w:tblInd w:w="-6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5"/>
        <w:gridCol w:w="855"/>
        <w:gridCol w:w="3030"/>
        <w:gridCol w:w="1410"/>
        <w:gridCol w:w="930"/>
        <w:gridCol w:w="855"/>
        <w:gridCol w:w="1035"/>
      </w:tblGrid>
      <w:tr w14:paraId="6088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785" w:type="dxa"/>
            <w:tcBorders>
              <w:top w:val="nil"/>
              <w:left w:val="nil"/>
              <w:bottom w:val="nil"/>
              <w:right w:val="nil"/>
            </w:tcBorders>
            <w:shd w:val="clear" w:color="auto" w:fill="auto"/>
            <w:noWrap/>
            <w:vAlign w:val="bottom"/>
          </w:tcPr>
          <w:p w14:paraId="3D0EC5FD">
            <w:pPr>
              <w:rPr>
                <w:rFonts w:hint="eastAsia" w:ascii="Arial" w:hAnsi="Arial" w:cs="Arial"/>
                <w:i w:val="0"/>
                <w:iCs w:val="0"/>
                <w:color w:val="000000"/>
                <w:sz w:val="20"/>
                <w:szCs w:val="20"/>
                <w:u w:val="none"/>
              </w:rPr>
            </w:pPr>
          </w:p>
        </w:tc>
        <w:tc>
          <w:tcPr>
            <w:tcW w:w="855" w:type="dxa"/>
            <w:tcBorders>
              <w:top w:val="nil"/>
              <w:left w:val="nil"/>
              <w:bottom w:val="nil"/>
              <w:right w:val="nil"/>
            </w:tcBorders>
            <w:shd w:val="clear" w:color="auto" w:fill="auto"/>
            <w:noWrap/>
            <w:vAlign w:val="bottom"/>
          </w:tcPr>
          <w:p w14:paraId="343A67AA">
            <w:pPr>
              <w:rPr>
                <w:rFonts w:hint="eastAsia" w:ascii="Calibri" w:hAnsi="Calibri" w:cs="Calibri"/>
                <w:i w:val="0"/>
                <w:iCs w:val="0"/>
                <w:color w:val="000000"/>
                <w:sz w:val="22"/>
                <w:szCs w:val="22"/>
                <w:u w:val="none"/>
              </w:rPr>
            </w:pPr>
          </w:p>
        </w:tc>
        <w:tc>
          <w:tcPr>
            <w:tcW w:w="3030" w:type="dxa"/>
            <w:tcBorders>
              <w:top w:val="nil"/>
              <w:left w:val="nil"/>
              <w:bottom w:val="nil"/>
              <w:right w:val="nil"/>
            </w:tcBorders>
            <w:shd w:val="clear" w:color="auto" w:fill="auto"/>
            <w:noWrap/>
            <w:vAlign w:val="bottom"/>
          </w:tcPr>
          <w:p w14:paraId="30CA049E">
            <w:pPr>
              <w:rPr>
                <w:rFonts w:hint="default" w:ascii="Arial" w:hAnsi="Arial" w:cs="Arial"/>
                <w:i w:val="0"/>
                <w:iCs w:val="0"/>
                <w:color w:val="000000"/>
                <w:sz w:val="20"/>
                <w:szCs w:val="20"/>
                <w:u w:val="none"/>
              </w:rPr>
            </w:pPr>
          </w:p>
        </w:tc>
        <w:tc>
          <w:tcPr>
            <w:tcW w:w="1410" w:type="dxa"/>
            <w:tcBorders>
              <w:top w:val="nil"/>
              <w:left w:val="nil"/>
              <w:bottom w:val="nil"/>
              <w:right w:val="nil"/>
            </w:tcBorders>
            <w:shd w:val="clear" w:color="auto" w:fill="auto"/>
            <w:noWrap/>
            <w:vAlign w:val="bottom"/>
          </w:tcPr>
          <w:p w14:paraId="22B8DCB6">
            <w:pPr>
              <w:jc w:val="center"/>
              <w:rPr>
                <w:rFonts w:hint="default" w:ascii="Calibri" w:hAnsi="Calibri" w:cs="Calibri"/>
                <w:i w:val="0"/>
                <w:iCs w:val="0"/>
                <w:color w:val="000000"/>
                <w:sz w:val="22"/>
                <w:szCs w:val="22"/>
                <w:u w:val="none"/>
              </w:rPr>
            </w:pPr>
          </w:p>
        </w:tc>
        <w:tc>
          <w:tcPr>
            <w:tcW w:w="930" w:type="dxa"/>
            <w:tcBorders>
              <w:top w:val="nil"/>
              <w:left w:val="nil"/>
              <w:bottom w:val="nil"/>
              <w:right w:val="nil"/>
            </w:tcBorders>
            <w:shd w:val="clear" w:color="auto" w:fill="auto"/>
            <w:noWrap/>
            <w:vAlign w:val="bottom"/>
          </w:tcPr>
          <w:p w14:paraId="5C506A97">
            <w:pPr>
              <w:jc w:val="center"/>
              <w:rPr>
                <w:rFonts w:hint="default" w:ascii="Arial" w:hAnsi="Arial" w:cs="Arial"/>
                <w:i w:val="0"/>
                <w:iCs w:val="0"/>
                <w:color w:val="000000"/>
                <w:sz w:val="20"/>
                <w:szCs w:val="20"/>
                <w:u w:val="none"/>
              </w:rPr>
            </w:pPr>
          </w:p>
        </w:tc>
        <w:tc>
          <w:tcPr>
            <w:tcW w:w="1890" w:type="dxa"/>
            <w:gridSpan w:val="2"/>
            <w:tcBorders>
              <w:top w:val="nil"/>
              <w:left w:val="nil"/>
              <w:bottom w:val="nil"/>
              <w:right w:val="nil"/>
            </w:tcBorders>
            <w:shd w:val="clear" w:color="auto" w:fill="auto"/>
            <w:noWrap/>
            <w:vAlign w:val="center"/>
          </w:tcPr>
          <w:p w14:paraId="367E3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单位公开表4</w:t>
            </w:r>
          </w:p>
        </w:tc>
      </w:tr>
      <w:tr w14:paraId="73C8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900" w:type="dxa"/>
            <w:gridSpan w:val="7"/>
            <w:tcBorders>
              <w:top w:val="nil"/>
              <w:left w:val="nil"/>
              <w:bottom w:val="nil"/>
              <w:right w:val="nil"/>
            </w:tcBorders>
            <w:shd w:val="clear" w:color="auto" w:fill="auto"/>
            <w:noWrap/>
            <w:vAlign w:val="center"/>
          </w:tcPr>
          <w:p w14:paraId="297037D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表四、2024年财政拨款收支总表</w:t>
            </w:r>
          </w:p>
        </w:tc>
      </w:tr>
      <w:tr w14:paraId="0368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7080" w:type="dxa"/>
            <w:gridSpan w:val="4"/>
            <w:tcBorders>
              <w:top w:val="nil"/>
              <w:left w:val="nil"/>
              <w:bottom w:val="nil"/>
              <w:right w:val="nil"/>
            </w:tcBorders>
            <w:shd w:val="clear" w:color="auto" w:fill="auto"/>
            <w:noWrap/>
            <w:vAlign w:val="center"/>
          </w:tcPr>
          <w:p w14:paraId="21B86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930" w:type="dxa"/>
            <w:tcBorders>
              <w:top w:val="nil"/>
              <w:left w:val="nil"/>
              <w:bottom w:val="nil"/>
              <w:right w:val="nil"/>
            </w:tcBorders>
            <w:shd w:val="clear" w:color="auto" w:fill="auto"/>
            <w:noWrap/>
            <w:vAlign w:val="bottom"/>
          </w:tcPr>
          <w:p w14:paraId="79ED481C">
            <w:pPr>
              <w:jc w:val="center"/>
              <w:rPr>
                <w:rFonts w:hint="default" w:ascii="Arial" w:hAnsi="Arial" w:cs="Arial"/>
                <w:i w:val="0"/>
                <w:iCs w:val="0"/>
                <w:color w:val="000000"/>
                <w:sz w:val="20"/>
                <w:szCs w:val="20"/>
                <w:u w:val="none"/>
              </w:rPr>
            </w:pPr>
          </w:p>
        </w:tc>
        <w:tc>
          <w:tcPr>
            <w:tcW w:w="1890" w:type="dxa"/>
            <w:gridSpan w:val="2"/>
            <w:tcBorders>
              <w:top w:val="nil"/>
              <w:left w:val="nil"/>
              <w:bottom w:val="nil"/>
              <w:right w:val="nil"/>
            </w:tcBorders>
            <w:shd w:val="clear" w:color="auto" w:fill="auto"/>
            <w:noWrap/>
            <w:vAlign w:val="center"/>
          </w:tcPr>
          <w:p w14:paraId="57741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6CC6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9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72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4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0C4E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2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2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030" w:type="dxa"/>
            <w:tcBorders>
              <w:top w:val="nil"/>
              <w:left w:val="single" w:color="000000" w:sz="4" w:space="0"/>
              <w:bottom w:val="single" w:color="000000" w:sz="4" w:space="0"/>
              <w:right w:val="single" w:color="000000" w:sz="4" w:space="0"/>
            </w:tcBorders>
            <w:shd w:val="clear" w:color="auto" w:fill="auto"/>
            <w:noWrap/>
            <w:vAlign w:val="center"/>
          </w:tcPr>
          <w:p w14:paraId="35DEB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w:t>
            </w:r>
          </w:p>
        </w:tc>
        <w:tc>
          <w:tcPr>
            <w:tcW w:w="1410" w:type="dxa"/>
            <w:tcBorders>
              <w:top w:val="nil"/>
              <w:left w:val="single" w:color="000000" w:sz="4" w:space="0"/>
              <w:bottom w:val="single" w:color="000000" w:sz="4" w:space="0"/>
              <w:right w:val="single" w:color="000000" w:sz="4" w:space="0"/>
            </w:tcBorders>
            <w:shd w:val="clear" w:color="auto" w:fill="auto"/>
            <w:noWrap/>
            <w:vAlign w:val="center"/>
          </w:tcPr>
          <w:p w14:paraId="07FAB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30" w:type="dxa"/>
            <w:tcBorders>
              <w:top w:val="nil"/>
              <w:left w:val="single" w:color="000000" w:sz="4" w:space="0"/>
              <w:bottom w:val="single" w:color="000000" w:sz="4" w:space="0"/>
              <w:right w:val="single" w:color="000000" w:sz="4" w:space="0"/>
            </w:tcBorders>
            <w:shd w:val="clear" w:color="auto" w:fill="auto"/>
            <w:vAlign w:val="center"/>
          </w:tcPr>
          <w:p w14:paraId="2C34A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预算拨款</w:t>
            </w:r>
          </w:p>
        </w:tc>
        <w:tc>
          <w:tcPr>
            <w:tcW w:w="855" w:type="dxa"/>
            <w:tcBorders>
              <w:top w:val="nil"/>
              <w:left w:val="single" w:color="000000" w:sz="4" w:space="0"/>
              <w:bottom w:val="single" w:color="000000" w:sz="4" w:space="0"/>
              <w:right w:val="single" w:color="000000" w:sz="4" w:space="0"/>
            </w:tcBorders>
            <w:shd w:val="clear" w:color="auto" w:fill="auto"/>
            <w:vAlign w:val="center"/>
          </w:tcPr>
          <w:p w14:paraId="518BF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预算拨款</w:t>
            </w:r>
          </w:p>
        </w:tc>
        <w:tc>
          <w:tcPr>
            <w:tcW w:w="1035" w:type="dxa"/>
            <w:tcBorders>
              <w:top w:val="nil"/>
              <w:left w:val="single" w:color="000000" w:sz="4" w:space="0"/>
              <w:bottom w:val="single" w:color="000000" w:sz="4" w:space="0"/>
              <w:right w:val="single" w:color="000000" w:sz="4" w:space="0"/>
            </w:tcBorders>
            <w:shd w:val="clear" w:color="auto" w:fill="auto"/>
            <w:vAlign w:val="center"/>
          </w:tcPr>
          <w:p w14:paraId="497F3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营预算拨款</w:t>
            </w:r>
          </w:p>
        </w:tc>
      </w:tr>
      <w:tr w14:paraId="5B04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9A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一、一般公共预算拨款收入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B0E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59.51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86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1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3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390A">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555A">
            <w:pPr>
              <w:jc w:val="right"/>
              <w:rPr>
                <w:rFonts w:hint="eastAsia" w:ascii="宋体" w:hAnsi="宋体" w:eastAsia="宋体" w:cs="宋体"/>
                <w:i w:val="0"/>
                <w:iCs w:val="0"/>
                <w:color w:val="000000"/>
                <w:sz w:val="18"/>
                <w:szCs w:val="18"/>
                <w:u w:val="none"/>
              </w:rPr>
            </w:pPr>
          </w:p>
        </w:tc>
      </w:tr>
      <w:tr w14:paraId="6701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6A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其中：国库管理非税收入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6C6E">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9E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7607">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F89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8A5B">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5A1D">
            <w:pPr>
              <w:jc w:val="right"/>
              <w:rPr>
                <w:rFonts w:hint="eastAsia" w:ascii="宋体" w:hAnsi="宋体" w:eastAsia="宋体" w:cs="宋体"/>
                <w:i w:val="0"/>
                <w:iCs w:val="0"/>
                <w:color w:val="000000"/>
                <w:sz w:val="18"/>
                <w:szCs w:val="18"/>
                <w:u w:val="none"/>
              </w:rPr>
            </w:pPr>
          </w:p>
        </w:tc>
      </w:tr>
      <w:tr w14:paraId="49CA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A5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二、政府性基金预算拨款收入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19CC">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F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8966">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F55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3A86">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A3FF">
            <w:pPr>
              <w:jc w:val="right"/>
              <w:rPr>
                <w:rFonts w:hint="eastAsia" w:ascii="宋体" w:hAnsi="宋体" w:eastAsia="宋体" w:cs="宋体"/>
                <w:i w:val="0"/>
                <w:iCs w:val="0"/>
                <w:color w:val="000000"/>
                <w:sz w:val="18"/>
                <w:szCs w:val="18"/>
                <w:u w:val="none"/>
              </w:rPr>
            </w:pPr>
          </w:p>
        </w:tc>
      </w:tr>
      <w:tr w14:paraId="1BDA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8C8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三、国有资本经营预算拨款收入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24D3">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B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C930">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2B7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91AD">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D521">
            <w:pPr>
              <w:jc w:val="right"/>
              <w:rPr>
                <w:rFonts w:hint="eastAsia" w:ascii="宋体" w:hAnsi="宋体" w:eastAsia="宋体" w:cs="宋体"/>
                <w:i w:val="0"/>
                <w:iCs w:val="0"/>
                <w:color w:val="000000"/>
                <w:sz w:val="18"/>
                <w:szCs w:val="18"/>
                <w:u w:val="none"/>
              </w:rPr>
            </w:pPr>
          </w:p>
        </w:tc>
      </w:tr>
      <w:tr w14:paraId="5F4D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68CB">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F802">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8E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36C4">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AF6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FA06">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7D9">
            <w:pPr>
              <w:jc w:val="right"/>
              <w:rPr>
                <w:rFonts w:hint="eastAsia" w:ascii="宋体" w:hAnsi="宋体" w:eastAsia="宋体" w:cs="宋体"/>
                <w:i w:val="0"/>
                <w:iCs w:val="0"/>
                <w:color w:val="000000"/>
                <w:sz w:val="18"/>
                <w:szCs w:val="18"/>
                <w:u w:val="none"/>
              </w:rPr>
            </w:pPr>
          </w:p>
        </w:tc>
      </w:tr>
      <w:tr w14:paraId="4757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7B93">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612F">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2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83F2">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434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F190">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7B19">
            <w:pPr>
              <w:jc w:val="right"/>
              <w:rPr>
                <w:rFonts w:hint="eastAsia" w:ascii="宋体" w:hAnsi="宋体" w:eastAsia="宋体" w:cs="宋体"/>
                <w:i w:val="0"/>
                <w:iCs w:val="0"/>
                <w:color w:val="000000"/>
                <w:sz w:val="18"/>
                <w:szCs w:val="18"/>
                <w:u w:val="none"/>
              </w:rPr>
            </w:pPr>
          </w:p>
        </w:tc>
      </w:tr>
      <w:tr w14:paraId="1F47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87FD">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A102F">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A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6980">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931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6C1D">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9DC9">
            <w:pPr>
              <w:jc w:val="right"/>
              <w:rPr>
                <w:rFonts w:hint="eastAsia" w:ascii="宋体" w:hAnsi="宋体" w:eastAsia="宋体" w:cs="宋体"/>
                <w:i w:val="0"/>
                <w:iCs w:val="0"/>
                <w:color w:val="000000"/>
                <w:sz w:val="18"/>
                <w:szCs w:val="18"/>
                <w:u w:val="none"/>
              </w:rPr>
            </w:pPr>
          </w:p>
        </w:tc>
      </w:tr>
      <w:tr w14:paraId="76DB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767A">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4165">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93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4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1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C618">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09CF">
            <w:pPr>
              <w:jc w:val="right"/>
              <w:rPr>
                <w:rFonts w:hint="eastAsia" w:ascii="宋体" w:hAnsi="宋体" w:eastAsia="宋体" w:cs="宋体"/>
                <w:i w:val="0"/>
                <w:iCs w:val="0"/>
                <w:color w:val="000000"/>
                <w:sz w:val="18"/>
                <w:szCs w:val="18"/>
                <w:u w:val="none"/>
              </w:rPr>
            </w:pPr>
          </w:p>
        </w:tc>
      </w:tr>
      <w:tr w14:paraId="13E5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0E18">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B6CB">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4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九、社会保险基金支出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81C3">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858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63C2">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9608">
            <w:pPr>
              <w:jc w:val="right"/>
              <w:rPr>
                <w:rFonts w:hint="eastAsia" w:ascii="宋体" w:hAnsi="宋体" w:eastAsia="宋体" w:cs="宋体"/>
                <w:i w:val="0"/>
                <w:iCs w:val="0"/>
                <w:color w:val="000000"/>
                <w:sz w:val="18"/>
                <w:szCs w:val="18"/>
                <w:u w:val="none"/>
              </w:rPr>
            </w:pPr>
          </w:p>
        </w:tc>
      </w:tr>
      <w:tr w14:paraId="15E6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FEBC">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C10C1">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5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十、卫生健康支出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D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C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9870">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9D82">
            <w:pPr>
              <w:jc w:val="right"/>
              <w:rPr>
                <w:rFonts w:hint="eastAsia" w:ascii="宋体" w:hAnsi="宋体" w:eastAsia="宋体" w:cs="宋体"/>
                <w:i w:val="0"/>
                <w:iCs w:val="0"/>
                <w:color w:val="000000"/>
                <w:sz w:val="18"/>
                <w:szCs w:val="18"/>
                <w:u w:val="none"/>
              </w:rPr>
            </w:pPr>
          </w:p>
        </w:tc>
      </w:tr>
      <w:tr w14:paraId="0362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44EE">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91BB1">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C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十一、节能环保支出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553A">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549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5517">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18AD">
            <w:pPr>
              <w:jc w:val="right"/>
              <w:rPr>
                <w:rFonts w:hint="eastAsia" w:ascii="宋体" w:hAnsi="宋体" w:eastAsia="宋体" w:cs="宋体"/>
                <w:i w:val="0"/>
                <w:iCs w:val="0"/>
                <w:color w:val="000000"/>
                <w:sz w:val="18"/>
                <w:szCs w:val="18"/>
                <w:u w:val="none"/>
              </w:rPr>
            </w:pPr>
          </w:p>
        </w:tc>
      </w:tr>
      <w:tr w14:paraId="618F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BE47">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FDCAB">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F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十二、城乡社区支出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FC7C">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1D3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483B">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9529">
            <w:pPr>
              <w:jc w:val="right"/>
              <w:rPr>
                <w:rFonts w:hint="eastAsia" w:ascii="宋体" w:hAnsi="宋体" w:eastAsia="宋体" w:cs="宋体"/>
                <w:i w:val="0"/>
                <w:iCs w:val="0"/>
                <w:color w:val="000000"/>
                <w:sz w:val="18"/>
                <w:szCs w:val="18"/>
                <w:u w:val="none"/>
              </w:rPr>
            </w:pPr>
          </w:p>
        </w:tc>
      </w:tr>
      <w:tr w14:paraId="2442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20DD">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87A5B">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1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十三、农林水支出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DE48">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BB6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888B">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BC5C">
            <w:pPr>
              <w:jc w:val="right"/>
              <w:rPr>
                <w:rFonts w:hint="eastAsia" w:ascii="宋体" w:hAnsi="宋体" w:eastAsia="宋体" w:cs="宋体"/>
                <w:i w:val="0"/>
                <w:iCs w:val="0"/>
                <w:color w:val="000000"/>
                <w:sz w:val="18"/>
                <w:szCs w:val="18"/>
                <w:u w:val="none"/>
              </w:rPr>
            </w:pPr>
          </w:p>
        </w:tc>
      </w:tr>
      <w:tr w14:paraId="3962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5630">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D5BCF">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C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十四、交通运输支出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BDBA">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53C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12C8">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85DF">
            <w:pPr>
              <w:jc w:val="right"/>
              <w:rPr>
                <w:rFonts w:hint="eastAsia" w:ascii="宋体" w:hAnsi="宋体" w:eastAsia="宋体" w:cs="宋体"/>
                <w:i w:val="0"/>
                <w:iCs w:val="0"/>
                <w:color w:val="000000"/>
                <w:sz w:val="18"/>
                <w:szCs w:val="18"/>
                <w:u w:val="none"/>
              </w:rPr>
            </w:pPr>
          </w:p>
        </w:tc>
      </w:tr>
      <w:tr w14:paraId="6D69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531E">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D6378">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8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十五、资源勘探工业信息等支出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2F81">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AA1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7C0C">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A267">
            <w:pPr>
              <w:jc w:val="right"/>
              <w:rPr>
                <w:rFonts w:hint="eastAsia" w:ascii="宋体" w:hAnsi="宋体" w:eastAsia="宋体" w:cs="宋体"/>
                <w:i w:val="0"/>
                <w:iCs w:val="0"/>
                <w:color w:val="000000"/>
                <w:sz w:val="18"/>
                <w:szCs w:val="18"/>
                <w:u w:val="none"/>
              </w:rPr>
            </w:pPr>
          </w:p>
        </w:tc>
      </w:tr>
      <w:tr w14:paraId="71F4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2B10">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5227">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1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十六、商业服务业等支出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F443">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EC9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1430">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A8D8">
            <w:pPr>
              <w:jc w:val="right"/>
              <w:rPr>
                <w:rFonts w:hint="eastAsia" w:ascii="宋体" w:hAnsi="宋体" w:eastAsia="宋体" w:cs="宋体"/>
                <w:i w:val="0"/>
                <w:iCs w:val="0"/>
                <w:color w:val="000000"/>
                <w:sz w:val="18"/>
                <w:szCs w:val="18"/>
                <w:u w:val="none"/>
              </w:rPr>
            </w:pPr>
          </w:p>
        </w:tc>
      </w:tr>
      <w:tr w14:paraId="02B2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A974">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2C0F">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D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十七、金融支出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49BE">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6B12">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04F8">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4819">
            <w:pPr>
              <w:jc w:val="right"/>
              <w:rPr>
                <w:rFonts w:hint="eastAsia" w:ascii="宋体" w:hAnsi="宋体" w:eastAsia="宋体" w:cs="宋体"/>
                <w:i w:val="0"/>
                <w:iCs w:val="0"/>
                <w:color w:val="000000"/>
                <w:sz w:val="18"/>
                <w:szCs w:val="18"/>
                <w:u w:val="none"/>
              </w:rPr>
            </w:pPr>
          </w:p>
        </w:tc>
      </w:tr>
      <w:tr w14:paraId="2ECC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522E">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BBC03">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2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十八、援助其他地区支出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4BB2">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5CD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A798">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3222">
            <w:pPr>
              <w:jc w:val="right"/>
              <w:rPr>
                <w:rFonts w:hint="eastAsia" w:ascii="宋体" w:hAnsi="宋体" w:eastAsia="宋体" w:cs="宋体"/>
                <w:i w:val="0"/>
                <w:iCs w:val="0"/>
                <w:color w:val="000000"/>
                <w:sz w:val="18"/>
                <w:szCs w:val="18"/>
                <w:u w:val="none"/>
              </w:rPr>
            </w:pPr>
          </w:p>
        </w:tc>
      </w:tr>
      <w:tr w14:paraId="3FD5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B3E4">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EA32">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2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十九、自然资源海洋气象等支出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BC9B">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3F2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175E">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81C2">
            <w:pPr>
              <w:jc w:val="right"/>
              <w:rPr>
                <w:rFonts w:hint="eastAsia" w:ascii="宋体" w:hAnsi="宋体" w:eastAsia="宋体" w:cs="宋体"/>
                <w:i w:val="0"/>
                <w:iCs w:val="0"/>
                <w:color w:val="000000"/>
                <w:sz w:val="18"/>
                <w:szCs w:val="18"/>
                <w:u w:val="none"/>
              </w:rPr>
            </w:pPr>
          </w:p>
        </w:tc>
      </w:tr>
      <w:tr w14:paraId="1FA5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88A0">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6BD0">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5E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二十、住房保障支出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7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9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1BC3">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A701">
            <w:pPr>
              <w:jc w:val="right"/>
              <w:rPr>
                <w:rFonts w:hint="eastAsia" w:ascii="宋体" w:hAnsi="宋体" w:eastAsia="宋体" w:cs="宋体"/>
                <w:i w:val="0"/>
                <w:iCs w:val="0"/>
                <w:color w:val="000000"/>
                <w:sz w:val="18"/>
                <w:szCs w:val="18"/>
                <w:u w:val="none"/>
              </w:rPr>
            </w:pPr>
          </w:p>
        </w:tc>
      </w:tr>
      <w:tr w14:paraId="1D50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DC20">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81009">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1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二十一、粮油物资储备支出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A36E">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1A9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F441">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02D3">
            <w:pPr>
              <w:jc w:val="right"/>
              <w:rPr>
                <w:rFonts w:hint="eastAsia" w:ascii="宋体" w:hAnsi="宋体" w:eastAsia="宋体" w:cs="宋体"/>
                <w:i w:val="0"/>
                <w:iCs w:val="0"/>
                <w:color w:val="000000"/>
                <w:sz w:val="18"/>
                <w:szCs w:val="18"/>
                <w:u w:val="none"/>
              </w:rPr>
            </w:pPr>
          </w:p>
        </w:tc>
      </w:tr>
      <w:tr w14:paraId="7B84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F6B2">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9484">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98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二十二、国有资本经营预算支出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3D00">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383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7D05">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3A76">
            <w:pPr>
              <w:jc w:val="right"/>
              <w:rPr>
                <w:rFonts w:hint="eastAsia" w:ascii="宋体" w:hAnsi="宋体" w:eastAsia="宋体" w:cs="宋体"/>
                <w:i w:val="0"/>
                <w:iCs w:val="0"/>
                <w:color w:val="000000"/>
                <w:sz w:val="18"/>
                <w:szCs w:val="18"/>
                <w:u w:val="none"/>
              </w:rPr>
            </w:pPr>
          </w:p>
        </w:tc>
      </w:tr>
      <w:tr w14:paraId="58EA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D53D">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6894">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B2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二十三、灾害防治及应急管理支出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FCF6">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459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F7D3">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EF09">
            <w:pPr>
              <w:jc w:val="right"/>
              <w:rPr>
                <w:rFonts w:hint="eastAsia" w:ascii="宋体" w:hAnsi="宋体" w:eastAsia="宋体" w:cs="宋体"/>
                <w:i w:val="0"/>
                <w:iCs w:val="0"/>
                <w:color w:val="000000"/>
                <w:sz w:val="18"/>
                <w:szCs w:val="18"/>
                <w:u w:val="none"/>
              </w:rPr>
            </w:pPr>
          </w:p>
        </w:tc>
      </w:tr>
      <w:tr w14:paraId="258A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7BDE">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C889">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233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二十四、预备费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E80F">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78E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E07D">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61C9">
            <w:pPr>
              <w:jc w:val="right"/>
              <w:rPr>
                <w:rFonts w:hint="eastAsia" w:ascii="宋体" w:hAnsi="宋体" w:eastAsia="宋体" w:cs="宋体"/>
                <w:i w:val="0"/>
                <w:iCs w:val="0"/>
                <w:color w:val="000000"/>
                <w:sz w:val="18"/>
                <w:szCs w:val="18"/>
                <w:u w:val="none"/>
              </w:rPr>
            </w:pPr>
          </w:p>
        </w:tc>
      </w:tr>
      <w:tr w14:paraId="31FC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5B29">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F15C">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1BB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二十五、其他支出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FEC">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C61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7DDB">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7C91">
            <w:pPr>
              <w:jc w:val="right"/>
              <w:rPr>
                <w:rFonts w:hint="eastAsia" w:ascii="宋体" w:hAnsi="宋体" w:eastAsia="宋体" w:cs="宋体"/>
                <w:i w:val="0"/>
                <w:iCs w:val="0"/>
                <w:color w:val="000000"/>
                <w:sz w:val="18"/>
                <w:szCs w:val="18"/>
                <w:u w:val="none"/>
              </w:rPr>
            </w:pPr>
          </w:p>
        </w:tc>
      </w:tr>
      <w:tr w14:paraId="2984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8245">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5E9B">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D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二十六、转移性支出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FC7C">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CAC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C7AC">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DF62">
            <w:pPr>
              <w:jc w:val="right"/>
              <w:rPr>
                <w:rFonts w:hint="eastAsia" w:ascii="宋体" w:hAnsi="宋体" w:eastAsia="宋体" w:cs="宋体"/>
                <w:i w:val="0"/>
                <w:iCs w:val="0"/>
                <w:color w:val="000000"/>
                <w:sz w:val="18"/>
                <w:szCs w:val="18"/>
                <w:u w:val="none"/>
              </w:rPr>
            </w:pPr>
          </w:p>
        </w:tc>
      </w:tr>
      <w:tr w14:paraId="2A41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220F">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5D8E">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9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二十七、债务还本支出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E18A">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6C2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DAE5">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D247">
            <w:pPr>
              <w:jc w:val="right"/>
              <w:rPr>
                <w:rFonts w:hint="eastAsia" w:ascii="宋体" w:hAnsi="宋体" w:eastAsia="宋体" w:cs="宋体"/>
                <w:i w:val="0"/>
                <w:iCs w:val="0"/>
                <w:color w:val="000000"/>
                <w:sz w:val="18"/>
                <w:szCs w:val="18"/>
                <w:u w:val="none"/>
              </w:rPr>
            </w:pPr>
          </w:p>
        </w:tc>
      </w:tr>
      <w:tr w14:paraId="5794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64A5">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9D91">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99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二十八、债务付息支出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34A5">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B25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2143">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7958">
            <w:pPr>
              <w:jc w:val="right"/>
              <w:rPr>
                <w:rFonts w:hint="eastAsia" w:ascii="宋体" w:hAnsi="宋体" w:eastAsia="宋体" w:cs="宋体"/>
                <w:i w:val="0"/>
                <w:iCs w:val="0"/>
                <w:color w:val="000000"/>
                <w:sz w:val="18"/>
                <w:szCs w:val="18"/>
                <w:u w:val="none"/>
              </w:rPr>
            </w:pPr>
          </w:p>
        </w:tc>
      </w:tr>
      <w:tr w14:paraId="0AD1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3DC8">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C949">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0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二十九、债务发行费用支出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0610">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03A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2D97">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FCE6">
            <w:pPr>
              <w:jc w:val="right"/>
              <w:rPr>
                <w:rFonts w:hint="eastAsia" w:ascii="宋体" w:hAnsi="宋体" w:eastAsia="宋体" w:cs="宋体"/>
                <w:i w:val="0"/>
                <w:iCs w:val="0"/>
                <w:color w:val="000000"/>
                <w:sz w:val="18"/>
                <w:szCs w:val="18"/>
                <w:u w:val="none"/>
              </w:rPr>
            </w:pPr>
          </w:p>
        </w:tc>
      </w:tr>
      <w:tr w14:paraId="4E7A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3A6E">
            <w:pP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48C7">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B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三十、抗疫特别国债安排的支出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76E7">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06D2">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DC54">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7441">
            <w:pPr>
              <w:jc w:val="right"/>
              <w:rPr>
                <w:rFonts w:hint="eastAsia" w:ascii="宋体" w:hAnsi="宋体" w:eastAsia="宋体" w:cs="宋体"/>
                <w:i w:val="0"/>
                <w:iCs w:val="0"/>
                <w:color w:val="000000"/>
                <w:sz w:val="18"/>
                <w:szCs w:val="18"/>
                <w:u w:val="none"/>
              </w:rPr>
            </w:pPr>
          </w:p>
        </w:tc>
      </w:tr>
      <w:tr w14:paraId="3C16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6AF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本年收入小计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13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59.51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66A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本年支出小计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3F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59.51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B7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59.51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BFF6">
            <w:pPr>
              <w:jc w:val="right"/>
              <w:rPr>
                <w:rFonts w:hint="eastAsia" w:ascii="宋体" w:hAnsi="宋体" w:eastAsia="宋体" w:cs="宋体"/>
                <w:b/>
                <w:bCs/>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5DB">
            <w:pPr>
              <w:jc w:val="right"/>
              <w:rPr>
                <w:rFonts w:hint="eastAsia" w:ascii="宋体" w:hAnsi="宋体" w:eastAsia="宋体" w:cs="宋体"/>
                <w:b/>
                <w:bCs/>
                <w:i w:val="0"/>
                <w:iCs w:val="0"/>
                <w:color w:val="000000"/>
                <w:sz w:val="20"/>
                <w:szCs w:val="20"/>
                <w:u w:val="none"/>
              </w:rPr>
            </w:pPr>
          </w:p>
        </w:tc>
      </w:tr>
      <w:tr w14:paraId="2F13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0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1064">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9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结转下年</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C2B06">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C6A9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78229">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74ED2">
            <w:pPr>
              <w:jc w:val="right"/>
              <w:rPr>
                <w:rFonts w:hint="eastAsia" w:ascii="宋体" w:hAnsi="宋体" w:eastAsia="宋体" w:cs="宋体"/>
                <w:i w:val="0"/>
                <w:iCs w:val="0"/>
                <w:color w:val="000000"/>
                <w:sz w:val="20"/>
                <w:szCs w:val="20"/>
                <w:u w:val="none"/>
              </w:rPr>
            </w:pPr>
          </w:p>
        </w:tc>
      </w:tr>
      <w:tr w14:paraId="22CC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07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0F05">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2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8E7D0">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5AB8C">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8201A">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B1AC3">
            <w:pPr>
              <w:jc w:val="right"/>
              <w:rPr>
                <w:rFonts w:hint="eastAsia" w:ascii="宋体" w:hAnsi="宋体" w:eastAsia="宋体" w:cs="宋体"/>
                <w:i w:val="0"/>
                <w:iCs w:val="0"/>
                <w:color w:val="000000"/>
                <w:sz w:val="20"/>
                <w:szCs w:val="20"/>
                <w:u w:val="none"/>
              </w:rPr>
            </w:pPr>
          </w:p>
        </w:tc>
      </w:tr>
      <w:tr w14:paraId="33F6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7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4ECA">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F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F2026">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08D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51213">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228A0">
            <w:pPr>
              <w:jc w:val="right"/>
              <w:rPr>
                <w:rFonts w:hint="eastAsia" w:ascii="宋体" w:hAnsi="宋体" w:eastAsia="宋体" w:cs="宋体"/>
                <w:i w:val="0"/>
                <w:iCs w:val="0"/>
                <w:color w:val="000000"/>
                <w:sz w:val="20"/>
                <w:szCs w:val="20"/>
                <w:u w:val="none"/>
              </w:rPr>
            </w:pPr>
          </w:p>
        </w:tc>
      </w:tr>
      <w:tr w14:paraId="672C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5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B798">
            <w:pPr>
              <w:jc w:val="center"/>
              <w:rPr>
                <w:rFonts w:hint="default" w:ascii="Calibri" w:hAnsi="Calibri" w:cs="Calibri"/>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43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11AC9">
            <w:pPr>
              <w:jc w:val="center"/>
              <w:rPr>
                <w:rFonts w:hint="default" w:ascii="Calibri" w:hAnsi="Calibri" w:cs="Calibri"/>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8E02">
            <w:pPr>
              <w:jc w:val="center"/>
              <w:rPr>
                <w:rFonts w:hint="eastAsia" w:ascii="宋体" w:hAnsi="宋体" w:eastAsia="宋体" w:cs="宋体"/>
                <w:b/>
                <w:bCs/>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9C9C">
            <w:pPr>
              <w:jc w:val="center"/>
              <w:rPr>
                <w:rFonts w:hint="eastAsia" w:ascii="宋体" w:hAnsi="宋体" w:eastAsia="宋体" w:cs="宋体"/>
                <w:b/>
                <w:bCs/>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C1F43">
            <w:pPr>
              <w:rPr>
                <w:rFonts w:hint="default" w:ascii="Calibri" w:hAnsi="Calibri" w:cs="Calibri"/>
                <w:i w:val="0"/>
                <w:iCs w:val="0"/>
                <w:color w:val="000000"/>
                <w:sz w:val="24"/>
                <w:szCs w:val="24"/>
                <w:u w:val="none"/>
              </w:rPr>
            </w:pPr>
          </w:p>
        </w:tc>
      </w:tr>
      <w:tr w14:paraId="2537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785" w:type="dxa"/>
            <w:tcBorders>
              <w:top w:val="single" w:color="000000" w:sz="4" w:space="0"/>
              <w:left w:val="single" w:color="000000" w:sz="4" w:space="0"/>
              <w:bottom w:val="nil"/>
              <w:right w:val="single" w:color="000000" w:sz="4" w:space="0"/>
            </w:tcBorders>
            <w:shd w:val="clear" w:color="auto" w:fill="auto"/>
            <w:noWrap/>
            <w:vAlign w:val="center"/>
          </w:tcPr>
          <w:p w14:paraId="620EB151">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nil"/>
              <w:right w:val="single" w:color="000000" w:sz="4" w:space="0"/>
            </w:tcBorders>
            <w:shd w:val="clear" w:color="auto" w:fill="auto"/>
            <w:vAlign w:val="center"/>
          </w:tcPr>
          <w:p w14:paraId="6A0EDF1C">
            <w:pPr>
              <w:jc w:val="center"/>
              <w:rPr>
                <w:rFonts w:hint="eastAsia" w:ascii="宋体" w:hAnsi="宋体" w:eastAsia="宋体" w:cs="宋体"/>
                <w:i w:val="0"/>
                <w:iCs w:val="0"/>
                <w:color w:val="000000"/>
                <w:sz w:val="24"/>
                <w:szCs w:val="24"/>
                <w:u w:val="none"/>
              </w:rPr>
            </w:pPr>
          </w:p>
        </w:tc>
        <w:tc>
          <w:tcPr>
            <w:tcW w:w="3030" w:type="dxa"/>
            <w:tcBorders>
              <w:top w:val="single" w:color="000000" w:sz="4" w:space="0"/>
              <w:left w:val="single" w:color="000000" w:sz="4" w:space="0"/>
              <w:bottom w:val="nil"/>
              <w:right w:val="single" w:color="000000" w:sz="4" w:space="0"/>
            </w:tcBorders>
            <w:shd w:val="clear" w:color="auto" w:fill="auto"/>
            <w:noWrap/>
            <w:vAlign w:val="center"/>
          </w:tcPr>
          <w:p w14:paraId="639029F8">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nil"/>
              <w:right w:val="single" w:color="000000" w:sz="4" w:space="0"/>
            </w:tcBorders>
            <w:shd w:val="clear" w:color="auto" w:fill="auto"/>
            <w:noWrap/>
            <w:vAlign w:val="bottom"/>
          </w:tcPr>
          <w:p w14:paraId="05169FD3">
            <w:pPr>
              <w:jc w:val="center"/>
              <w:rPr>
                <w:rFonts w:hint="default" w:ascii="Calibri" w:hAnsi="Calibri" w:cs="Calibri"/>
                <w:i w:val="0"/>
                <w:iCs w:val="0"/>
                <w:color w:val="000000"/>
                <w:sz w:val="22"/>
                <w:szCs w:val="22"/>
                <w:u w:val="none"/>
              </w:rPr>
            </w:pPr>
          </w:p>
        </w:tc>
        <w:tc>
          <w:tcPr>
            <w:tcW w:w="930" w:type="dxa"/>
            <w:tcBorders>
              <w:top w:val="single" w:color="000000" w:sz="4" w:space="0"/>
              <w:left w:val="single" w:color="000000" w:sz="4" w:space="0"/>
              <w:bottom w:val="nil"/>
              <w:right w:val="single" w:color="000000" w:sz="4" w:space="0"/>
            </w:tcBorders>
            <w:shd w:val="clear" w:color="auto" w:fill="auto"/>
            <w:noWrap/>
            <w:vAlign w:val="center"/>
          </w:tcPr>
          <w:p w14:paraId="52CCBF98">
            <w:pPr>
              <w:jc w:val="center"/>
              <w:rPr>
                <w:rFonts w:hint="eastAsia" w:ascii="宋体" w:hAnsi="宋体" w:eastAsia="宋体" w:cs="宋体"/>
                <w:b/>
                <w:bCs/>
                <w:i w:val="0"/>
                <w:iCs w:val="0"/>
                <w:color w:val="000000"/>
                <w:sz w:val="22"/>
                <w:szCs w:val="22"/>
                <w:u w:val="none"/>
              </w:rPr>
            </w:pPr>
          </w:p>
        </w:tc>
        <w:tc>
          <w:tcPr>
            <w:tcW w:w="855" w:type="dxa"/>
            <w:tcBorders>
              <w:top w:val="single" w:color="000000" w:sz="4" w:space="0"/>
              <w:left w:val="single" w:color="000000" w:sz="4" w:space="0"/>
              <w:bottom w:val="nil"/>
              <w:right w:val="single" w:color="000000" w:sz="4" w:space="0"/>
            </w:tcBorders>
            <w:shd w:val="clear" w:color="auto" w:fill="auto"/>
            <w:noWrap/>
            <w:vAlign w:val="center"/>
          </w:tcPr>
          <w:p w14:paraId="0DA02C21">
            <w:pPr>
              <w:jc w:val="center"/>
              <w:rPr>
                <w:rFonts w:hint="eastAsia" w:ascii="宋体" w:hAnsi="宋体" w:eastAsia="宋体" w:cs="宋体"/>
                <w:b/>
                <w:bCs/>
                <w:i w:val="0"/>
                <w:iCs w:val="0"/>
                <w:color w:val="000000"/>
                <w:sz w:val="24"/>
                <w:szCs w:val="24"/>
                <w:u w:val="none"/>
              </w:rPr>
            </w:pPr>
          </w:p>
        </w:tc>
        <w:tc>
          <w:tcPr>
            <w:tcW w:w="1035" w:type="dxa"/>
            <w:tcBorders>
              <w:top w:val="single" w:color="000000" w:sz="4" w:space="0"/>
              <w:left w:val="single" w:color="000000" w:sz="4" w:space="0"/>
              <w:bottom w:val="nil"/>
              <w:right w:val="single" w:color="000000" w:sz="4" w:space="0"/>
            </w:tcBorders>
            <w:shd w:val="clear" w:color="auto" w:fill="auto"/>
            <w:noWrap/>
            <w:vAlign w:val="bottom"/>
          </w:tcPr>
          <w:p w14:paraId="6CD019E5">
            <w:pPr>
              <w:rPr>
                <w:rFonts w:hint="default" w:ascii="Calibri" w:hAnsi="Calibri" w:cs="Calibri"/>
                <w:i w:val="0"/>
                <w:iCs w:val="0"/>
                <w:color w:val="000000"/>
                <w:sz w:val="24"/>
                <w:szCs w:val="24"/>
                <w:u w:val="none"/>
              </w:rPr>
            </w:pPr>
          </w:p>
        </w:tc>
      </w:tr>
      <w:tr w14:paraId="1DD8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7D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收入总计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37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59.51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08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本年支出小计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9D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59.51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50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59.51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204D">
            <w:pPr>
              <w:jc w:val="right"/>
              <w:rPr>
                <w:rFonts w:hint="eastAsia" w:ascii="宋体" w:hAnsi="宋体" w:eastAsia="宋体" w:cs="宋体"/>
                <w:b/>
                <w:bCs/>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25B7">
            <w:pPr>
              <w:jc w:val="right"/>
              <w:rPr>
                <w:rFonts w:hint="eastAsia" w:ascii="宋体" w:hAnsi="宋体" w:eastAsia="宋体" w:cs="宋体"/>
                <w:b/>
                <w:bCs/>
                <w:i w:val="0"/>
                <w:iCs w:val="0"/>
                <w:color w:val="000000"/>
                <w:sz w:val="20"/>
                <w:szCs w:val="20"/>
                <w:u w:val="none"/>
              </w:rPr>
            </w:pPr>
          </w:p>
        </w:tc>
      </w:tr>
      <w:tr w14:paraId="112D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CD2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135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A74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7CF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C69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7B85">
            <w:pPr>
              <w:jc w:val="right"/>
              <w:rPr>
                <w:rFonts w:hint="eastAsia" w:ascii="宋体" w:hAnsi="宋体" w:eastAsia="宋体" w:cs="宋体"/>
                <w:b/>
                <w:bCs/>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1F37">
            <w:pPr>
              <w:jc w:val="right"/>
              <w:rPr>
                <w:rFonts w:hint="eastAsia" w:ascii="宋体" w:hAnsi="宋体" w:eastAsia="宋体" w:cs="宋体"/>
                <w:b/>
                <w:bCs/>
                <w:i w:val="0"/>
                <w:iCs w:val="0"/>
                <w:color w:val="000000"/>
                <w:sz w:val="20"/>
                <w:szCs w:val="20"/>
                <w:u w:val="none"/>
              </w:rPr>
            </w:pPr>
          </w:p>
        </w:tc>
      </w:tr>
      <w:tr w14:paraId="5F20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900" w:type="dxa"/>
            <w:gridSpan w:val="7"/>
            <w:tcBorders>
              <w:top w:val="nil"/>
              <w:left w:val="nil"/>
              <w:bottom w:val="nil"/>
              <w:right w:val="nil"/>
            </w:tcBorders>
            <w:shd w:val="clear" w:color="auto" w:fill="auto"/>
            <w:noWrap/>
            <w:vAlign w:val="center"/>
          </w:tcPr>
          <w:p w14:paraId="760278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注：本表反映单位财政拨款收入、支出预算情况。</w:t>
            </w:r>
          </w:p>
        </w:tc>
      </w:tr>
      <w:tr w14:paraId="0FD7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900" w:type="dxa"/>
            <w:gridSpan w:val="7"/>
            <w:tcBorders>
              <w:top w:val="nil"/>
              <w:left w:val="nil"/>
              <w:bottom w:val="nil"/>
              <w:right w:val="nil"/>
            </w:tcBorders>
            <w:shd w:val="clear" w:color="auto" w:fill="auto"/>
            <w:noWrap/>
            <w:vAlign w:val="center"/>
          </w:tcPr>
          <w:p w14:paraId="4C0630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199C56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5B4F2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4B998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608CF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21345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ACD5D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01247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63C93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469D1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37FB5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14F1EF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0952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48D8C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6875F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D8281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BA176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80534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CDD28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9C36E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46715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26093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0C8B6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E797C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1150BA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ACBD1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1D6E3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10B744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A99FD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18F2E1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40DA5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70DAD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200A7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2F6BB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14:paraId="136729D9">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end"/>
      </w:r>
      <w:r>
        <w:rPr>
          <w:rFonts w:hint="eastAsia" w:ascii="TimesNewRoman" w:hAnsi="TimesNewRoman" w:eastAsia="黑体" w:cs="TimesNewRoman"/>
          <w:bCs/>
          <w:sz w:val="36"/>
          <w:szCs w:val="36"/>
          <w:lang w:eastAsia="zh-CN"/>
        </w:rPr>
        <w:fldChar w:fldCharType="begin"/>
      </w:r>
      <w:r>
        <w:instrText xml:space="preserve"> LINK Excel.Sheet.8 "C:\\Users\\apple\\Desktop\\2024年预算公开\\预算中心\\黄山市2024年部门预算公开表（包含结转）_(003002)黄山市人大预算联网监督中心.xls" "表五、一般公共预算支出表!R1C1:R23C7" \h \a </w:instrText>
      </w:r>
      <w:r>
        <w:rPr>
          <w:rFonts w:hint="eastAsia" w:ascii="TimesNewRoman" w:hAnsi="TimesNewRoman" w:eastAsia="黑体" w:cs="TimesNewRoman"/>
          <w:bCs/>
          <w:sz w:val="36"/>
          <w:szCs w:val="36"/>
          <w:lang w:eastAsia="zh-CN"/>
        </w:rPr>
        <w:fldChar w:fldCharType="separate"/>
      </w:r>
    </w:p>
    <w:tbl>
      <w:tblPr>
        <w:tblStyle w:val="8"/>
        <w:tblW w:w="9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6"/>
        <w:gridCol w:w="3616"/>
        <w:gridCol w:w="913"/>
        <w:gridCol w:w="902"/>
        <w:gridCol w:w="892"/>
        <w:gridCol w:w="717"/>
        <w:gridCol w:w="1324"/>
      </w:tblGrid>
      <w:tr w14:paraId="6A2F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66" w:type="dxa"/>
            <w:tcBorders>
              <w:top w:val="nil"/>
              <w:left w:val="nil"/>
              <w:bottom w:val="nil"/>
              <w:right w:val="nil"/>
            </w:tcBorders>
            <w:shd w:val="clear" w:color="auto" w:fill="FFFFFF"/>
            <w:noWrap/>
            <w:vAlign w:val="center"/>
          </w:tcPr>
          <w:p w14:paraId="19E98DE1">
            <w:pPr>
              <w:rPr>
                <w:rFonts w:hint="eastAsia" w:ascii="Calibri" w:hAnsi="Calibri" w:cs="Calibri"/>
                <w:i w:val="0"/>
                <w:iCs w:val="0"/>
                <w:color w:val="000000"/>
                <w:sz w:val="22"/>
                <w:szCs w:val="22"/>
                <w:u w:val="none"/>
              </w:rPr>
            </w:pPr>
          </w:p>
        </w:tc>
        <w:tc>
          <w:tcPr>
            <w:tcW w:w="3616" w:type="dxa"/>
            <w:tcBorders>
              <w:top w:val="nil"/>
              <w:left w:val="nil"/>
              <w:bottom w:val="nil"/>
              <w:right w:val="nil"/>
            </w:tcBorders>
            <w:shd w:val="clear" w:color="auto" w:fill="auto"/>
            <w:noWrap/>
            <w:vAlign w:val="bottom"/>
          </w:tcPr>
          <w:p w14:paraId="0456790B">
            <w:pPr>
              <w:rPr>
                <w:rFonts w:hint="eastAsia" w:ascii="Arial" w:hAnsi="Arial" w:cs="Arial"/>
                <w:i w:val="0"/>
                <w:iCs w:val="0"/>
                <w:color w:val="000000"/>
                <w:sz w:val="20"/>
                <w:szCs w:val="20"/>
                <w:u w:val="none"/>
              </w:rPr>
            </w:pPr>
          </w:p>
        </w:tc>
        <w:tc>
          <w:tcPr>
            <w:tcW w:w="913" w:type="dxa"/>
            <w:tcBorders>
              <w:top w:val="nil"/>
              <w:left w:val="nil"/>
              <w:bottom w:val="nil"/>
              <w:right w:val="nil"/>
            </w:tcBorders>
            <w:shd w:val="clear" w:color="auto" w:fill="auto"/>
            <w:noWrap/>
            <w:vAlign w:val="bottom"/>
          </w:tcPr>
          <w:p w14:paraId="051D3275">
            <w:pPr>
              <w:rPr>
                <w:rFonts w:hint="default" w:ascii="Arial" w:hAnsi="Arial" w:cs="Arial"/>
                <w:i w:val="0"/>
                <w:iCs w:val="0"/>
                <w:color w:val="000000"/>
                <w:sz w:val="20"/>
                <w:szCs w:val="20"/>
                <w:u w:val="none"/>
              </w:rPr>
            </w:pPr>
          </w:p>
        </w:tc>
        <w:tc>
          <w:tcPr>
            <w:tcW w:w="902" w:type="dxa"/>
            <w:tcBorders>
              <w:top w:val="nil"/>
              <w:left w:val="nil"/>
              <w:bottom w:val="nil"/>
              <w:right w:val="nil"/>
            </w:tcBorders>
            <w:shd w:val="clear" w:color="auto" w:fill="auto"/>
            <w:noWrap/>
            <w:vAlign w:val="bottom"/>
          </w:tcPr>
          <w:p w14:paraId="6B7A2D76">
            <w:pPr>
              <w:rPr>
                <w:rFonts w:hint="default" w:ascii="Arial" w:hAnsi="Arial" w:cs="Arial"/>
                <w:i w:val="0"/>
                <w:iCs w:val="0"/>
                <w:color w:val="000000"/>
                <w:sz w:val="20"/>
                <w:szCs w:val="20"/>
                <w:u w:val="none"/>
              </w:rPr>
            </w:pPr>
          </w:p>
        </w:tc>
        <w:tc>
          <w:tcPr>
            <w:tcW w:w="892" w:type="dxa"/>
            <w:tcBorders>
              <w:top w:val="nil"/>
              <w:left w:val="nil"/>
              <w:bottom w:val="nil"/>
              <w:right w:val="nil"/>
            </w:tcBorders>
            <w:shd w:val="clear" w:color="auto" w:fill="auto"/>
            <w:noWrap/>
            <w:vAlign w:val="bottom"/>
          </w:tcPr>
          <w:p w14:paraId="60EFE410">
            <w:pPr>
              <w:rPr>
                <w:rFonts w:hint="default" w:ascii="Calibri" w:hAnsi="Calibri" w:cs="Calibri"/>
                <w:i w:val="0"/>
                <w:iCs w:val="0"/>
                <w:color w:val="000000"/>
                <w:sz w:val="22"/>
                <w:szCs w:val="22"/>
                <w:u w:val="none"/>
              </w:rPr>
            </w:pPr>
          </w:p>
        </w:tc>
        <w:tc>
          <w:tcPr>
            <w:tcW w:w="717" w:type="dxa"/>
            <w:tcBorders>
              <w:top w:val="nil"/>
              <w:left w:val="nil"/>
              <w:bottom w:val="nil"/>
              <w:right w:val="nil"/>
            </w:tcBorders>
            <w:shd w:val="clear" w:color="auto" w:fill="auto"/>
            <w:noWrap/>
            <w:vAlign w:val="bottom"/>
          </w:tcPr>
          <w:p w14:paraId="3BA963E0">
            <w:pPr>
              <w:rPr>
                <w:rFonts w:hint="default" w:ascii="Arial" w:hAnsi="Arial" w:cs="Arial"/>
                <w:i w:val="0"/>
                <w:iCs w:val="0"/>
                <w:color w:val="000000"/>
                <w:sz w:val="20"/>
                <w:szCs w:val="20"/>
                <w:u w:val="none"/>
              </w:rPr>
            </w:pPr>
          </w:p>
        </w:tc>
        <w:tc>
          <w:tcPr>
            <w:tcW w:w="1324" w:type="dxa"/>
            <w:tcBorders>
              <w:top w:val="nil"/>
              <w:left w:val="nil"/>
              <w:bottom w:val="nil"/>
              <w:right w:val="nil"/>
            </w:tcBorders>
            <w:shd w:val="clear" w:color="auto" w:fill="auto"/>
            <w:noWrap/>
            <w:vAlign w:val="center"/>
          </w:tcPr>
          <w:p w14:paraId="429DFB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单位公开表5</w:t>
            </w:r>
          </w:p>
        </w:tc>
      </w:tr>
      <w:tr w14:paraId="1F0B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430" w:type="dxa"/>
            <w:gridSpan w:val="7"/>
            <w:tcBorders>
              <w:top w:val="nil"/>
              <w:left w:val="nil"/>
              <w:bottom w:val="nil"/>
              <w:right w:val="nil"/>
            </w:tcBorders>
            <w:shd w:val="clear" w:color="auto" w:fill="auto"/>
            <w:noWrap/>
            <w:vAlign w:val="center"/>
          </w:tcPr>
          <w:p w14:paraId="2148E93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表五、2024年一般公共预算支出表</w:t>
            </w:r>
          </w:p>
        </w:tc>
      </w:tr>
      <w:tr w14:paraId="01D5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5595" w:type="dxa"/>
            <w:gridSpan w:val="3"/>
            <w:tcBorders>
              <w:top w:val="nil"/>
              <w:left w:val="nil"/>
              <w:bottom w:val="nil"/>
              <w:right w:val="nil"/>
            </w:tcBorders>
            <w:shd w:val="clear" w:color="auto" w:fill="auto"/>
            <w:noWrap/>
            <w:vAlign w:val="center"/>
          </w:tcPr>
          <w:p w14:paraId="66E35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902" w:type="dxa"/>
            <w:tcBorders>
              <w:top w:val="nil"/>
              <w:left w:val="nil"/>
              <w:bottom w:val="nil"/>
              <w:right w:val="nil"/>
            </w:tcBorders>
            <w:shd w:val="clear" w:color="auto" w:fill="auto"/>
            <w:noWrap/>
            <w:vAlign w:val="bottom"/>
          </w:tcPr>
          <w:p w14:paraId="0A56B1F2">
            <w:pPr>
              <w:rPr>
                <w:rFonts w:hint="eastAsia" w:ascii="宋体" w:hAnsi="宋体" w:eastAsia="宋体" w:cs="宋体"/>
                <w:i w:val="0"/>
                <w:iCs w:val="0"/>
                <w:color w:val="000000"/>
                <w:sz w:val="18"/>
                <w:szCs w:val="18"/>
                <w:u w:val="none"/>
              </w:rPr>
            </w:pPr>
          </w:p>
        </w:tc>
        <w:tc>
          <w:tcPr>
            <w:tcW w:w="892" w:type="dxa"/>
            <w:tcBorders>
              <w:top w:val="nil"/>
              <w:left w:val="nil"/>
              <w:bottom w:val="nil"/>
              <w:right w:val="nil"/>
            </w:tcBorders>
            <w:shd w:val="clear" w:color="auto" w:fill="auto"/>
            <w:noWrap/>
            <w:vAlign w:val="center"/>
          </w:tcPr>
          <w:p w14:paraId="79CE1201">
            <w:pPr>
              <w:jc w:val="right"/>
              <w:rPr>
                <w:rFonts w:hint="eastAsia" w:ascii="宋体" w:hAnsi="宋体" w:eastAsia="宋体" w:cs="宋体"/>
                <w:i w:val="0"/>
                <w:iCs w:val="0"/>
                <w:color w:val="000000"/>
                <w:sz w:val="18"/>
                <w:szCs w:val="18"/>
                <w:u w:val="none"/>
              </w:rPr>
            </w:pPr>
          </w:p>
        </w:tc>
        <w:tc>
          <w:tcPr>
            <w:tcW w:w="717" w:type="dxa"/>
            <w:tcBorders>
              <w:top w:val="nil"/>
              <w:left w:val="nil"/>
              <w:bottom w:val="nil"/>
              <w:right w:val="nil"/>
            </w:tcBorders>
            <w:shd w:val="clear" w:color="auto" w:fill="auto"/>
            <w:noWrap/>
            <w:vAlign w:val="bottom"/>
          </w:tcPr>
          <w:p w14:paraId="31A97AAE">
            <w:pPr>
              <w:rPr>
                <w:rFonts w:hint="default" w:ascii="Arial" w:hAnsi="Arial" w:cs="Arial"/>
                <w:i w:val="0"/>
                <w:iCs w:val="0"/>
                <w:color w:val="000000"/>
                <w:sz w:val="20"/>
                <w:szCs w:val="20"/>
                <w:u w:val="none"/>
              </w:rPr>
            </w:pPr>
          </w:p>
        </w:tc>
        <w:tc>
          <w:tcPr>
            <w:tcW w:w="1324" w:type="dxa"/>
            <w:tcBorders>
              <w:top w:val="nil"/>
              <w:left w:val="nil"/>
              <w:bottom w:val="nil"/>
              <w:right w:val="nil"/>
            </w:tcBorders>
            <w:shd w:val="clear" w:color="auto" w:fill="auto"/>
            <w:noWrap/>
            <w:vAlign w:val="bottom"/>
          </w:tcPr>
          <w:p w14:paraId="7480D8C3">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单位：万元</w:t>
            </w:r>
          </w:p>
        </w:tc>
      </w:tr>
      <w:tr w14:paraId="5C92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6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7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2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9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8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75BD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17A275E">
            <w:pPr>
              <w:jc w:val="center"/>
              <w:rPr>
                <w:rFonts w:hint="eastAsia" w:ascii="宋体" w:hAnsi="宋体" w:eastAsia="宋体" w:cs="宋体"/>
                <w:i w:val="0"/>
                <w:iCs w:val="0"/>
                <w:color w:val="000000"/>
                <w:sz w:val="20"/>
                <w:szCs w:val="20"/>
                <w:u w:val="none"/>
              </w:rPr>
            </w:pPr>
          </w:p>
        </w:tc>
        <w:tc>
          <w:tcPr>
            <w:tcW w:w="3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1805">
            <w:pPr>
              <w:jc w:val="center"/>
              <w:rPr>
                <w:rFonts w:hint="eastAsia" w:ascii="宋体" w:hAnsi="宋体" w:eastAsia="宋体" w:cs="宋体"/>
                <w:i w:val="0"/>
                <w:iCs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72D3">
            <w:pPr>
              <w:jc w:val="center"/>
              <w:rPr>
                <w:rFonts w:hint="eastAsia" w:ascii="宋体" w:hAnsi="宋体" w:eastAsia="宋体" w:cs="宋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3E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11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C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9DA0">
            <w:pPr>
              <w:jc w:val="center"/>
              <w:rPr>
                <w:rFonts w:hint="eastAsia" w:ascii="宋体" w:hAnsi="宋体" w:eastAsia="宋体" w:cs="宋体"/>
                <w:i w:val="0"/>
                <w:iCs w:val="0"/>
                <w:color w:val="000000"/>
                <w:sz w:val="20"/>
                <w:szCs w:val="20"/>
                <w:u w:val="none"/>
              </w:rPr>
            </w:pPr>
          </w:p>
        </w:tc>
      </w:tr>
      <w:tr w14:paraId="26CB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63A97">
            <w:pPr>
              <w:rPr>
                <w:rFonts w:hint="default" w:ascii="Calibri" w:hAnsi="Calibri" w:cs="Calibri"/>
                <w:b/>
                <w:bCs/>
                <w:i w:val="0"/>
                <w:iCs w:val="0"/>
                <w:color w:val="000000"/>
                <w:sz w:val="22"/>
                <w:szCs w:val="22"/>
                <w:u w:val="none"/>
              </w:rPr>
            </w:pP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6294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5BD6">
            <w:pPr>
              <w:keepNext w:val="0"/>
              <w:keepLines w:val="0"/>
              <w:widowControl/>
              <w:suppressLineNumbers w:val="0"/>
              <w:jc w:val="center"/>
              <w:textAlignment w:val="center"/>
              <w:rPr>
                <w:rFonts w:hint="default" w:ascii="Calibri" w:hAnsi="Calibri"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59.51</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FCE9">
            <w:pPr>
              <w:keepNext w:val="0"/>
              <w:keepLines w:val="0"/>
              <w:widowControl/>
              <w:suppressLineNumbers w:val="0"/>
              <w:jc w:val="center"/>
              <w:textAlignment w:val="center"/>
              <w:rPr>
                <w:rFonts w:hint="default" w:ascii="Calibri" w:hAnsi="Calibri"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54.76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3B23">
            <w:pPr>
              <w:keepNext w:val="0"/>
              <w:keepLines w:val="0"/>
              <w:widowControl/>
              <w:suppressLineNumbers w:val="0"/>
              <w:jc w:val="center"/>
              <w:textAlignment w:val="center"/>
              <w:rPr>
                <w:rFonts w:hint="default" w:ascii="Calibri" w:hAnsi="Calibri"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51.37</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1862">
            <w:pPr>
              <w:keepNext w:val="0"/>
              <w:keepLines w:val="0"/>
              <w:widowControl/>
              <w:suppressLineNumbers w:val="0"/>
              <w:jc w:val="center"/>
              <w:textAlignment w:val="center"/>
              <w:rPr>
                <w:rFonts w:hint="default" w:ascii="Calibri" w:hAnsi="Calibri"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3.39</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6FC2">
            <w:pPr>
              <w:keepNext w:val="0"/>
              <w:keepLines w:val="0"/>
              <w:widowControl/>
              <w:suppressLineNumbers w:val="0"/>
              <w:jc w:val="center"/>
              <w:textAlignment w:val="center"/>
              <w:rPr>
                <w:rFonts w:hint="default" w:ascii="Calibri" w:hAnsi="Calibri"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4.75</w:t>
            </w:r>
          </w:p>
        </w:tc>
      </w:tr>
      <w:tr w14:paraId="2AD9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38D8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9A1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5119">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46.32</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BAFF">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41.57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6AF5">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38.18</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985A">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3.39</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DE47">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4.75</w:t>
            </w:r>
          </w:p>
        </w:tc>
      </w:tr>
      <w:tr w14:paraId="5BA1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0681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20101</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227BE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人大事务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4625">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46.22</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BD0A">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41.47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4985">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38.18</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6E14">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3.29</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B88D">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4.75</w:t>
            </w:r>
          </w:p>
        </w:tc>
      </w:tr>
      <w:tr w14:paraId="484C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8979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2010150</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22A2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事业运行</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33DA">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46.22</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94EF">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41.47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33EB">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38.18</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DD6A">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3.29</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7934">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4.75</w:t>
            </w:r>
          </w:p>
        </w:tc>
      </w:tr>
      <w:tr w14:paraId="1CFC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EE3F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20136</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2CAE1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其他共产党事务支出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9295">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472C">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C5F3">
            <w:pPr>
              <w:jc w:val="center"/>
              <w:rPr>
                <w:rFonts w:hint="default" w:ascii="Calibri" w:hAnsi="Calibri" w:cs="Calibri"/>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32E8">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F48A">
            <w:pPr>
              <w:jc w:val="center"/>
              <w:rPr>
                <w:rFonts w:hint="default" w:ascii="Calibri" w:hAnsi="Calibri" w:cs="Calibri"/>
                <w:i w:val="0"/>
                <w:iCs w:val="0"/>
                <w:color w:val="000000"/>
                <w:sz w:val="20"/>
                <w:szCs w:val="20"/>
                <w:u w:val="none"/>
              </w:rPr>
            </w:pPr>
          </w:p>
        </w:tc>
      </w:tr>
      <w:tr w14:paraId="69D7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4405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2013699</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678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其他共产党事务支出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9BF8">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2ED4">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D938">
            <w:pPr>
              <w:jc w:val="center"/>
              <w:rPr>
                <w:rFonts w:hint="default" w:ascii="Calibri" w:hAnsi="Calibri" w:cs="Calibri"/>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B940">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60A0">
            <w:pPr>
              <w:jc w:val="center"/>
              <w:rPr>
                <w:rFonts w:hint="default" w:ascii="Calibri" w:hAnsi="Calibri" w:cs="Calibri"/>
                <w:i w:val="0"/>
                <w:iCs w:val="0"/>
                <w:color w:val="000000"/>
                <w:sz w:val="20"/>
                <w:szCs w:val="20"/>
                <w:u w:val="none"/>
              </w:rPr>
            </w:pPr>
          </w:p>
        </w:tc>
      </w:tr>
      <w:tr w14:paraId="0A76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315A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208</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1D2CA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B48C">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8.17</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4A19">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1698">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8.17</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CDFB">
            <w:pPr>
              <w:jc w:val="center"/>
              <w:rPr>
                <w:rFonts w:hint="default" w:ascii="Calibri" w:hAnsi="Calibri" w:cs="Calibri"/>
                <w:i w:val="0"/>
                <w:iCs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3284">
            <w:pPr>
              <w:jc w:val="center"/>
              <w:rPr>
                <w:rFonts w:hint="default" w:ascii="Calibri" w:hAnsi="Calibri" w:cs="Calibri"/>
                <w:i w:val="0"/>
                <w:iCs w:val="0"/>
                <w:color w:val="000000"/>
                <w:sz w:val="20"/>
                <w:szCs w:val="20"/>
                <w:u w:val="none"/>
              </w:rPr>
            </w:pPr>
          </w:p>
        </w:tc>
      </w:tr>
      <w:tr w14:paraId="627E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ED76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20805</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D38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2BAC">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8.17</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975E">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D57A">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8.17</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AC79">
            <w:pPr>
              <w:jc w:val="center"/>
              <w:rPr>
                <w:rFonts w:hint="default" w:ascii="Calibri" w:hAnsi="Calibri" w:cs="Calibri"/>
                <w:i w:val="0"/>
                <w:iCs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CE75">
            <w:pPr>
              <w:jc w:val="center"/>
              <w:rPr>
                <w:rFonts w:hint="default" w:ascii="Calibri" w:hAnsi="Calibri" w:cs="Calibri"/>
                <w:i w:val="0"/>
                <w:iCs w:val="0"/>
                <w:color w:val="000000"/>
                <w:sz w:val="20"/>
                <w:szCs w:val="20"/>
                <w:u w:val="none"/>
              </w:rPr>
            </w:pPr>
          </w:p>
        </w:tc>
      </w:tr>
      <w:tr w14:paraId="5CDE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ADE2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2080505</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4A17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1A32">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5.45</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1215">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5.45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24E3">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5.45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DD96">
            <w:pPr>
              <w:jc w:val="center"/>
              <w:rPr>
                <w:rFonts w:hint="default" w:ascii="Calibri" w:hAnsi="Calibri" w:cs="Calibri"/>
                <w:i w:val="0"/>
                <w:iCs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FD08">
            <w:pPr>
              <w:jc w:val="center"/>
              <w:rPr>
                <w:rFonts w:hint="default" w:ascii="Calibri" w:hAnsi="Calibri" w:cs="Calibri"/>
                <w:i w:val="0"/>
                <w:iCs w:val="0"/>
                <w:color w:val="000000"/>
                <w:sz w:val="20"/>
                <w:szCs w:val="20"/>
                <w:u w:val="none"/>
              </w:rPr>
            </w:pPr>
          </w:p>
        </w:tc>
      </w:tr>
      <w:tr w14:paraId="4F1F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74E3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2080506</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42EC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C182">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2.72</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70DF">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2.72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EF1B">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2.72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EDCF">
            <w:pPr>
              <w:jc w:val="center"/>
              <w:rPr>
                <w:rFonts w:hint="default" w:ascii="Calibri" w:hAnsi="Calibri" w:cs="Calibri"/>
                <w:i w:val="0"/>
                <w:iCs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9FB0">
            <w:pPr>
              <w:jc w:val="center"/>
              <w:rPr>
                <w:rFonts w:hint="default" w:ascii="Calibri" w:hAnsi="Calibri" w:cs="Calibri"/>
                <w:i w:val="0"/>
                <w:iCs w:val="0"/>
                <w:color w:val="000000"/>
                <w:sz w:val="20"/>
                <w:szCs w:val="20"/>
                <w:u w:val="none"/>
              </w:rPr>
            </w:pPr>
          </w:p>
        </w:tc>
      </w:tr>
      <w:tr w14:paraId="3A1D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6470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210</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246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FFE6">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494D">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CD3A">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256B">
            <w:pPr>
              <w:jc w:val="center"/>
              <w:rPr>
                <w:rFonts w:hint="default" w:ascii="Calibri" w:hAnsi="Calibri" w:cs="Calibri"/>
                <w:i w:val="0"/>
                <w:iCs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8243">
            <w:pPr>
              <w:jc w:val="center"/>
              <w:rPr>
                <w:rFonts w:hint="default" w:ascii="Calibri" w:hAnsi="Calibri" w:cs="Calibri"/>
                <w:i w:val="0"/>
                <w:iCs w:val="0"/>
                <w:color w:val="000000"/>
                <w:sz w:val="20"/>
                <w:szCs w:val="20"/>
                <w:u w:val="none"/>
              </w:rPr>
            </w:pPr>
          </w:p>
        </w:tc>
      </w:tr>
      <w:tr w14:paraId="5AAD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9133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21011</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A09C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9680">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F409">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606F">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458D">
            <w:pPr>
              <w:jc w:val="center"/>
              <w:rPr>
                <w:rFonts w:hint="default" w:ascii="Calibri" w:hAnsi="Calibri" w:cs="Calibri"/>
                <w:i w:val="0"/>
                <w:iCs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EFB8">
            <w:pPr>
              <w:jc w:val="center"/>
              <w:rPr>
                <w:rFonts w:hint="default" w:ascii="Calibri" w:hAnsi="Calibri" w:cs="Calibri"/>
                <w:i w:val="0"/>
                <w:iCs w:val="0"/>
                <w:color w:val="000000"/>
                <w:sz w:val="20"/>
                <w:szCs w:val="20"/>
                <w:u w:val="none"/>
              </w:rPr>
            </w:pPr>
          </w:p>
        </w:tc>
      </w:tr>
      <w:tr w14:paraId="18E7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6FB6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2101102</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DC3DB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DD23">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1.21</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12A2">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1.21</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2E97">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2E19">
            <w:pPr>
              <w:jc w:val="center"/>
              <w:rPr>
                <w:rFonts w:hint="default" w:ascii="Calibri" w:hAnsi="Calibri" w:cs="Calibri"/>
                <w:i w:val="0"/>
                <w:iCs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C9B8">
            <w:pPr>
              <w:jc w:val="center"/>
              <w:rPr>
                <w:rFonts w:hint="default" w:ascii="Calibri" w:hAnsi="Calibri" w:cs="Calibri"/>
                <w:i w:val="0"/>
                <w:iCs w:val="0"/>
                <w:color w:val="000000"/>
                <w:sz w:val="20"/>
                <w:szCs w:val="20"/>
                <w:u w:val="none"/>
              </w:rPr>
            </w:pPr>
          </w:p>
        </w:tc>
      </w:tr>
      <w:tr w14:paraId="023A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F8F4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2101199</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77BF3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其他行政事业单位医疗支出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F3DA">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0.09</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4DF0">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0.09</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874E">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0.09</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B021">
            <w:pPr>
              <w:jc w:val="center"/>
              <w:rPr>
                <w:rFonts w:hint="default" w:ascii="Calibri" w:hAnsi="Calibri" w:cs="Calibri"/>
                <w:i w:val="0"/>
                <w:iCs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08D1">
            <w:pPr>
              <w:jc w:val="center"/>
              <w:rPr>
                <w:rFonts w:hint="default" w:ascii="Calibri" w:hAnsi="Calibri" w:cs="Calibri"/>
                <w:i w:val="0"/>
                <w:iCs w:val="0"/>
                <w:color w:val="000000"/>
                <w:sz w:val="20"/>
                <w:szCs w:val="20"/>
                <w:u w:val="none"/>
              </w:rPr>
            </w:pPr>
          </w:p>
        </w:tc>
      </w:tr>
      <w:tr w14:paraId="60B2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823B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221</w:t>
            </w:r>
          </w:p>
        </w:tc>
        <w:tc>
          <w:tcPr>
            <w:tcW w:w="36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21D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8866">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3.72</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2786">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73D7">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9D22">
            <w:pPr>
              <w:jc w:val="center"/>
              <w:rPr>
                <w:rFonts w:hint="default" w:ascii="Calibri" w:hAnsi="Calibri" w:cs="Calibri"/>
                <w:i w:val="0"/>
                <w:iCs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1DE2">
            <w:pPr>
              <w:jc w:val="center"/>
              <w:rPr>
                <w:rFonts w:hint="default" w:ascii="Calibri" w:hAnsi="Calibri" w:cs="Calibri"/>
                <w:i w:val="0"/>
                <w:iCs w:val="0"/>
                <w:color w:val="000000"/>
                <w:sz w:val="20"/>
                <w:szCs w:val="20"/>
                <w:u w:val="none"/>
              </w:rPr>
            </w:pPr>
          </w:p>
        </w:tc>
      </w:tr>
      <w:tr w14:paraId="43F6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BE8D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22102</w:t>
            </w:r>
          </w:p>
        </w:tc>
        <w:tc>
          <w:tcPr>
            <w:tcW w:w="3616"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15FAD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住房改革支出</w:t>
            </w:r>
          </w:p>
        </w:tc>
        <w:tc>
          <w:tcPr>
            <w:tcW w:w="9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0582890">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3.72</w:t>
            </w:r>
          </w:p>
        </w:tc>
        <w:tc>
          <w:tcPr>
            <w:tcW w:w="90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178A4B">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3.72</w:t>
            </w:r>
          </w:p>
        </w:tc>
        <w:tc>
          <w:tcPr>
            <w:tcW w:w="8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116388">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3.72</w:t>
            </w:r>
          </w:p>
        </w:tc>
        <w:tc>
          <w:tcPr>
            <w:tcW w:w="7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2468FA">
            <w:pPr>
              <w:jc w:val="center"/>
              <w:rPr>
                <w:rFonts w:hint="default" w:ascii="Calibri" w:hAnsi="Calibri" w:cs="Calibri"/>
                <w:i w:val="0"/>
                <w:iCs w:val="0"/>
                <w:color w:val="000000"/>
                <w:sz w:val="20"/>
                <w:szCs w:val="20"/>
                <w:u w:val="none"/>
              </w:rPr>
            </w:pPr>
          </w:p>
        </w:tc>
        <w:tc>
          <w:tcPr>
            <w:tcW w:w="13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9EDC50">
            <w:pPr>
              <w:jc w:val="center"/>
              <w:rPr>
                <w:rFonts w:hint="default" w:ascii="Calibri" w:hAnsi="Calibri" w:cs="Calibri"/>
                <w:i w:val="0"/>
                <w:iCs w:val="0"/>
                <w:color w:val="000000"/>
                <w:sz w:val="20"/>
                <w:szCs w:val="20"/>
                <w:u w:val="none"/>
              </w:rPr>
            </w:pPr>
          </w:p>
        </w:tc>
      </w:tr>
      <w:tr w14:paraId="7CE7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965A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2210201</w:t>
            </w:r>
          </w:p>
        </w:tc>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DA0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A9DEB">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3.72</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BA2A7">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3.72</w:t>
            </w: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5A893">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3.72</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E1D84">
            <w:pPr>
              <w:jc w:val="center"/>
              <w:rPr>
                <w:rFonts w:hint="default" w:ascii="Calibri" w:hAnsi="Calibri" w:cs="Calibri"/>
                <w:i w:val="0"/>
                <w:iCs w:val="0"/>
                <w:color w:val="000000"/>
                <w:sz w:val="20"/>
                <w:szCs w:val="20"/>
                <w:u w:val="none"/>
              </w:rPr>
            </w:pPr>
          </w:p>
        </w:tc>
        <w:tc>
          <w:tcPr>
            <w:tcW w:w="1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92063">
            <w:pPr>
              <w:jc w:val="center"/>
              <w:rPr>
                <w:rFonts w:hint="default" w:ascii="Calibri" w:hAnsi="Calibri" w:cs="Calibri"/>
                <w:i w:val="0"/>
                <w:iCs w:val="0"/>
                <w:color w:val="000000"/>
                <w:sz w:val="20"/>
                <w:szCs w:val="20"/>
                <w:u w:val="none"/>
              </w:rPr>
            </w:pPr>
          </w:p>
        </w:tc>
      </w:tr>
      <w:tr w14:paraId="62C5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430" w:type="dxa"/>
            <w:gridSpan w:val="7"/>
            <w:tcBorders>
              <w:top w:val="single" w:color="auto" w:sz="4" w:space="0"/>
              <w:left w:val="nil"/>
              <w:bottom w:val="nil"/>
              <w:right w:val="nil"/>
            </w:tcBorders>
            <w:shd w:val="clear" w:color="auto" w:fill="auto"/>
            <w:noWrap/>
            <w:vAlign w:val="center"/>
          </w:tcPr>
          <w:p w14:paraId="45EF9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注：本表反映单位本年一般公共预算财政拨款收入安排的支出预算情况。</w:t>
            </w:r>
          </w:p>
        </w:tc>
      </w:tr>
    </w:tbl>
    <w:p w14:paraId="4FBFDEF7">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end"/>
      </w:r>
    </w:p>
    <w:p w14:paraId="2EAC98BF">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797D8A26">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5993FFEA">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7E1D81AB">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28D72950">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begin"/>
      </w:r>
      <w:r>
        <w:instrText xml:space="preserve"> LINK Excel.Sheet.8 "C:\\Users\\apple\\Desktop\\2024年预算公开\\预算中心\\黄山市2024年部门预算公开表（包含结转）_(003002)黄山市人大预算联网监督中心.xls" "表六、一般公共预算基本支出表!R1C1:R22C5" \h \a </w:instrText>
      </w:r>
      <w:r>
        <w:rPr>
          <w:rFonts w:hint="eastAsia" w:ascii="TimesNewRoman" w:hAnsi="TimesNewRoman" w:eastAsia="黑体" w:cs="TimesNewRoman"/>
          <w:bCs/>
          <w:sz w:val="36"/>
          <w:szCs w:val="36"/>
          <w:lang w:eastAsia="zh-CN"/>
        </w:rPr>
        <w:fldChar w:fldCharType="separate"/>
      </w:r>
    </w:p>
    <w:tbl>
      <w:tblPr>
        <w:tblStyle w:val="8"/>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3750"/>
        <w:gridCol w:w="1335"/>
        <w:gridCol w:w="1530"/>
        <w:gridCol w:w="1515"/>
      </w:tblGrid>
      <w:tr w14:paraId="0990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tcBorders>
              <w:top w:val="nil"/>
              <w:left w:val="nil"/>
              <w:bottom w:val="nil"/>
              <w:right w:val="nil"/>
            </w:tcBorders>
            <w:shd w:val="clear" w:color="auto" w:fill="auto"/>
            <w:noWrap/>
            <w:vAlign w:val="bottom"/>
          </w:tcPr>
          <w:p w14:paraId="66559FC4">
            <w:pPr>
              <w:rPr>
                <w:rFonts w:hint="eastAsia" w:ascii="Arial" w:hAnsi="Arial" w:cs="Arial"/>
                <w:i w:val="0"/>
                <w:iCs w:val="0"/>
                <w:color w:val="000000"/>
                <w:sz w:val="20"/>
                <w:szCs w:val="20"/>
                <w:u w:val="none"/>
              </w:rPr>
            </w:pPr>
          </w:p>
        </w:tc>
        <w:tc>
          <w:tcPr>
            <w:tcW w:w="3750" w:type="dxa"/>
            <w:tcBorders>
              <w:top w:val="nil"/>
              <w:left w:val="nil"/>
              <w:bottom w:val="nil"/>
              <w:right w:val="nil"/>
            </w:tcBorders>
            <w:shd w:val="clear" w:color="auto" w:fill="auto"/>
            <w:noWrap/>
            <w:vAlign w:val="bottom"/>
          </w:tcPr>
          <w:p w14:paraId="65604266">
            <w:pPr>
              <w:rPr>
                <w:rFonts w:hint="default" w:ascii="Arial" w:hAnsi="Arial" w:cs="Arial"/>
                <w:i w:val="0"/>
                <w:iCs w:val="0"/>
                <w:color w:val="000000"/>
                <w:sz w:val="20"/>
                <w:szCs w:val="20"/>
                <w:u w:val="none"/>
              </w:rPr>
            </w:pPr>
          </w:p>
        </w:tc>
        <w:tc>
          <w:tcPr>
            <w:tcW w:w="1335" w:type="dxa"/>
            <w:tcBorders>
              <w:top w:val="nil"/>
              <w:left w:val="nil"/>
              <w:bottom w:val="nil"/>
              <w:right w:val="nil"/>
            </w:tcBorders>
            <w:shd w:val="clear" w:color="auto" w:fill="auto"/>
            <w:noWrap/>
            <w:vAlign w:val="bottom"/>
          </w:tcPr>
          <w:p w14:paraId="1751390D">
            <w:pPr>
              <w:jc w:val="center"/>
              <w:rPr>
                <w:rFonts w:hint="default" w:ascii="Arial" w:hAnsi="Arial" w:cs="Arial"/>
                <w:i w:val="0"/>
                <w:iCs w:val="0"/>
                <w:color w:val="000000"/>
                <w:sz w:val="20"/>
                <w:szCs w:val="20"/>
                <w:u w:val="none"/>
              </w:rPr>
            </w:pPr>
          </w:p>
        </w:tc>
        <w:tc>
          <w:tcPr>
            <w:tcW w:w="1530" w:type="dxa"/>
            <w:tcBorders>
              <w:top w:val="nil"/>
              <w:left w:val="nil"/>
              <w:bottom w:val="nil"/>
              <w:right w:val="nil"/>
            </w:tcBorders>
            <w:shd w:val="clear" w:color="auto" w:fill="auto"/>
            <w:noWrap/>
            <w:vAlign w:val="bottom"/>
          </w:tcPr>
          <w:p w14:paraId="050845C7">
            <w:pPr>
              <w:jc w:val="center"/>
              <w:rPr>
                <w:rFonts w:hint="default" w:ascii="Arial" w:hAnsi="Arial" w:cs="Arial"/>
                <w:i w:val="0"/>
                <w:iCs w:val="0"/>
                <w:color w:val="000000"/>
                <w:sz w:val="20"/>
                <w:szCs w:val="20"/>
                <w:u w:val="none"/>
              </w:rPr>
            </w:pPr>
          </w:p>
        </w:tc>
        <w:tc>
          <w:tcPr>
            <w:tcW w:w="1515" w:type="dxa"/>
            <w:tcBorders>
              <w:top w:val="nil"/>
              <w:left w:val="nil"/>
              <w:bottom w:val="nil"/>
              <w:right w:val="nil"/>
            </w:tcBorders>
            <w:shd w:val="clear" w:color="auto" w:fill="auto"/>
            <w:noWrap/>
            <w:vAlign w:val="center"/>
          </w:tcPr>
          <w:p w14:paraId="0129D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单位公开表6</w:t>
            </w:r>
          </w:p>
        </w:tc>
      </w:tr>
      <w:tr w14:paraId="229C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5"/>
            <w:tcBorders>
              <w:top w:val="nil"/>
              <w:left w:val="nil"/>
              <w:bottom w:val="nil"/>
              <w:right w:val="nil"/>
            </w:tcBorders>
            <w:shd w:val="clear" w:color="auto" w:fill="auto"/>
            <w:noWrap/>
            <w:vAlign w:val="center"/>
          </w:tcPr>
          <w:p w14:paraId="2B15AE2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表六、2024年一般公共预算基本支出表</w:t>
            </w:r>
          </w:p>
        </w:tc>
      </w:tr>
      <w:tr w14:paraId="3F5E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tcBorders>
              <w:top w:val="nil"/>
              <w:left w:val="nil"/>
              <w:bottom w:val="nil"/>
              <w:right w:val="nil"/>
            </w:tcBorders>
            <w:shd w:val="clear" w:color="auto" w:fill="auto"/>
            <w:noWrap/>
            <w:vAlign w:val="center"/>
          </w:tcPr>
          <w:p w14:paraId="140EF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0" w:type="auto"/>
            <w:tcBorders>
              <w:top w:val="nil"/>
              <w:left w:val="nil"/>
              <w:bottom w:val="nil"/>
              <w:right w:val="nil"/>
            </w:tcBorders>
            <w:shd w:val="clear" w:color="auto" w:fill="auto"/>
            <w:noWrap/>
            <w:vAlign w:val="center"/>
          </w:tcPr>
          <w:p w14:paraId="643251E9">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E0D2300">
            <w:pPr>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8D6318">
            <w:pPr>
              <w:keepNext w:val="0"/>
              <w:keepLines w:val="0"/>
              <w:widowControl/>
              <w:suppressLineNumbers w:val="0"/>
              <w:jc w:val="center"/>
              <w:textAlignment w:val="bottom"/>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单位：万元</w:t>
            </w:r>
          </w:p>
        </w:tc>
      </w:tr>
      <w:tr w14:paraId="5ACE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A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部门预算支出经济分类科目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4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本年一般公共预算基本支出表</w:t>
            </w:r>
          </w:p>
        </w:tc>
      </w:tr>
      <w:tr w14:paraId="1323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D7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3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B7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42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C473">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人员经费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C7EA">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公用经费</w:t>
            </w:r>
          </w:p>
        </w:tc>
      </w:tr>
      <w:tr w14:paraId="3849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34B6">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D7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BA19">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6BAC">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FCC9">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3.39</w:t>
            </w:r>
          </w:p>
        </w:tc>
      </w:tr>
      <w:tr w14:paraId="2FF3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B93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5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FDB2">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9DB6">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9A06">
            <w:pPr>
              <w:jc w:val="center"/>
              <w:rPr>
                <w:rFonts w:hint="default" w:ascii="Calibri" w:hAnsi="Calibri" w:cs="Calibri"/>
                <w:i w:val="0"/>
                <w:iCs w:val="0"/>
                <w:color w:val="000000"/>
                <w:sz w:val="20"/>
                <w:szCs w:val="20"/>
                <w:u w:val="none"/>
              </w:rPr>
            </w:pPr>
          </w:p>
        </w:tc>
      </w:tr>
      <w:tr w14:paraId="50D3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B22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03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E970">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4B87">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39C7">
            <w:pPr>
              <w:jc w:val="center"/>
              <w:rPr>
                <w:rFonts w:hint="default" w:ascii="Calibri" w:hAnsi="Calibri" w:cs="Calibri"/>
                <w:i w:val="0"/>
                <w:iCs w:val="0"/>
                <w:color w:val="000000"/>
                <w:sz w:val="20"/>
                <w:szCs w:val="20"/>
                <w:u w:val="none"/>
              </w:rPr>
            </w:pPr>
          </w:p>
        </w:tc>
      </w:tr>
      <w:tr w14:paraId="4747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C74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4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1929">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5570">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0B1A">
            <w:pPr>
              <w:jc w:val="center"/>
              <w:rPr>
                <w:rFonts w:hint="default" w:ascii="Calibri" w:hAnsi="Calibri" w:cs="Calibri"/>
                <w:i w:val="0"/>
                <w:iCs w:val="0"/>
                <w:color w:val="000000"/>
                <w:sz w:val="20"/>
                <w:szCs w:val="20"/>
                <w:u w:val="none"/>
              </w:rPr>
            </w:pPr>
          </w:p>
        </w:tc>
      </w:tr>
      <w:tr w14:paraId="78BB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C68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6F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4E3D">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3630">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B0BA">
            <w:pPr>
              <w:jc w:val="center"/>
              <w:rPr>
                <w:rFonts w:hint="default" w:ascii="Calibri" w:hAnsi="Calibri" w:cs="Calibri"/>
                <w:i w:val="0"/>
                <w:iCs w:val="0"/>
                <w:color w:val="000000"/>
                <w:sz w:val="20"/>
                <w:szCs w:val="20"/>
                <w:u w:val="none"/>
              </w:rPr>
            </w:pPr>
          </w:p>
        </w:tc>
      </w:tr>
      <w:tr w14:paraId="0922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C8D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9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7084">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EC4">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EB1B">
            <w:pPr>
              <w:jc w:val="center"/>
              <w:rPr>
                <w:rFonts w:hint="default" w:ascii="Calibri" w:hAnsi="Calibri" w:cs="Calibri"/>
                <w:i w:val="0"/>
                <w:iCs w:val="0"/>
                <w:color w:val="000000"/>
                <w:sz w:val="20"/>
                <w:szCs w:val="20"/>
                <w:u w:val="none"/>
              </w:rPr>
            </w:pPr>
          </w:p>
        </w:tc>
      </w:tr>
      <w:tr w14:paraId="4CDA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906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94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5D31">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6DC9">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AFBB">
            <w:pPr>
              <w:jc w:val="center"/>
              <w:rPr>
                <w:rFonts w:hint="default" w:ascii="Calibri" w:hAnsi="Calibri" w:cs="Calibri"/>
                <w:i w:val="0"/>
                <w:iCs w:val="0"/>
                <w:color w:val="000000"/>
                <w:sz w:val="20"/>
                <w:szCs w:val="20"/>
                <w:u w:val="none"/>
              </w:rPr>
            </w:pPr>
          </w:p>
        </w:tc>
      </w:tr>
      <w:tr w14:paraId="4788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F61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51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B3F1">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342D">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9FCD">
            <w:pPr>
              <w:jc w:val="center"/>
              <w:rPr>
                <w:rFonts w:hint="default" w:ascii="Calibri" w:hAnsi="Calibri" w:cs="Calibri"/>
                <w:i w:val="0"/>
                <w:iCs w:val="0"/>
                <w:color w:val="000000"/>
                <w:sz w:val="20"/>
                <w:szCs w:val="20"/>
                <w:u w:val="none"/>
              </w:rPr>
            </w:pPr>
          </w:p>
        </w:tc>
      </w:tr>
      <w:tr w14:paraId="61BF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1F7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61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632A">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3222">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9C92">
            <w:pPr>
              <w:jc w:val="center"/>
              <w:rPr>
                <w:rFonts w:hint="default" w:ascii="Calibri" w:hAnsi="Calibri" w:cs="Calibri"/>
                <w:i w:val="0"/>
                <w:iCs w:val="0"/>
                <w:color w:val="000000"/>
                <w:sz w:val="20"/>
                <w:szCs w:val="20"/>
                <w:u w:val="none"/>
              </w:rPr>
            </w:pPr>
          </w:p>
        </w:tc>
      </w:tr>
      <w:tr w14:paraId="6C7F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E2E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E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770A">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D9C8">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FDB3">
            <w:pPr>
              <w:jc w:val="center"/>
              <w:rPr>
                <w:rFonts w:hint="default" w:ascii="Calibri" w:hAnsi="Calibri" w:cs="Calibri"/>
                <w:i w:val="0"/>
                <w:iCs w:val="0"/>
                <w:color w:val="000000"/>
                <w:sz w:val="20"/>
                <w:szCs w:val="20"/>
                <w:u w:val="none"/>
              </w:rPr>
            </w:pPr>
          </w:p>
        </w:tc>
      </w:tr>
      <w:tr w14:paraId="63F1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6D2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3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A6FC">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B379">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9859">
            <w:pPr>
              <w:jc w:val="center"/>
              <w:rPr>
                <w:rFonts w:hint="default" w:ascii="Calibri" w:hAnsi="Calibri" w:cs="Calibri"/>
                <w:i w:val="0"/>
                <w:iCs w:val="0"/>
                <w:color w:val="000000"/>
                <w:sz w:val="20"/>
                <w:szCs w:val="20"/>
                <w:u w:val="none"/>
              </w:rPr>
            </w:pPr>
          </w:p>
        </w:tc>
      </w:tr>
      <w:tr w14:paraId="6118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812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D2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1F47">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EE75">
            <w:pPr>
              <w:jc w:val="center"/>
              <w:rPr>
                <w:rFonts w:hint="default" w:ascii="Calibri" w:hAnsi="Calibri" w:cs="Calibri"/>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82C2">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3.39</w:t>
            </w:r>
          </w:p>
        </w:tc>
      </w:tr>
      <w:tr w14:paraId="7741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31D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8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E0E9">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787F">
            <w:pPr>
              <w:jc w:val="center"/>
              <w:rPr>
                <w:rFonts w:hint="default" w:ascii="Calibri" w:hAnsi="Calibri" w:cs="Calibri"/>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5F52">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2.40</w:t>
            </w:r>
          </w:p>
        </w:tc>
      </w:tr>
      <w:tr w14:paraId="54C8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CAF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F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1E84">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1763">
            <w:pPr>
              <w:jc w:val="center"/>
              <w:rPr>
                <w:rFonts w:hint="default" w:ascii="Calibri" w:hAnsi="Calibri" w:cs="Calibri"/>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AA39">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0.38</w:t>
            </w:r>
          </w:p>
        </w:tc>
      </w:tr>
      <w:tr w14:paraId="193A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277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D5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E746">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E305">
            <w:pPr>
              <w:jc w:val="center"/>
              <w:rPr>
                <w:rFonts w:hint="default" w:ascii="Calibri" w:hAnsi="Calibri" w:cs="Calibri"/>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B353">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0.51</w:t>
            </w:r>
          </w:p>
        </w:tc>
      </w:tr>
      <w:tr w14:paraId="486F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085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B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2993">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AC15">
            <w:pPr>
              <w:jc w:val="center"/>
              <w:rPr>
                <w:rFonts w:hint="default" w:ascii="Calibri" w:hAnsi="Calibri" w:cs="Calibri"/>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A8C8">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0.10</w:t>
            </w:r>
          </w:p>
        </w:tc>
      </w:tr>
      <w:tr w14:paraId="2243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5"/>
            <w:tcBorders>
              <w:top w:val="nil"/>
              <w:left w:val="nil"/>
              <w:bottom w:val="nil"/>
              <w:right w:val="nil"/>
            </w:tcBorders>
            <w:shd w:val="clear" w:color="auto" w:fill="auto"/>
            <w:noWrap/>
            <w:vAlign w:val="center"/>
          </w:tcPr>
          <w:p w14:paraId="7BA29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注：本表反映单位本年一般公共预算财政拨款收入安排的基本支出预算情况。</w:t>
            </w:r>
          </w:p>
        </w:tc>
      </w:tr>
    </w:tbl>
    <w:p w14:paraId="05414226">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end"/>
      </w:r>
    </w:p>
    <w:p w14:paraId="75910BCA">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09D20A7D">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0F64CF27">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79B14151">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6212EEBF">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42D4ECF2">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791E98C1">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2144F5A2">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begin"/>
      </w:r>
      <w:r>
        <w:instrText xml:space="preserve"> LINK Excel.Sheet.8 "C:\\Users\\apple\\Desktop\\2024年预算公开\\预算中心\\黄山市2024年部门预算公开表（包含结转）_(003002)黄山市人大预算联网监督中心.xls" "表七、政府性基金预算支出表!R1C1:R9C5" \h \a </w:instrText>
      </w:r>
      <w:r>
        <w:rPr>
          <w:rFonts w:hint="eastAsia" w:ascii="TimesNewRoman" w:hAnsi="TimesNewRoman" w:eastAsia="黑体" w:cs="TimesNewRoman"/>
          <w:bCs/>
          <w:sz w:val="36"/>
          <w:szCs w:val="36"/>
          <w:lang w:eastAsia="zh-CN"/>
        </w:rPr>
        <w:fldChar w:fldCharType="separate"/>
      </w:r>
    </w:p>
    <w:tbl>
      <w:tblPr>
        <w:tblStyle w:val="8"/>
        <w:tblW w:w="9195" w:type="dxa"/>
        <w:tblInd w:w="-4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9"/>
        <w:gridCol w:w="2051"/>
        <w:gridCol w:w="1440"/>
        <w:gridCol w:w="1395"/>
        <w:gridCol w:w="2550"/>
      </w:tblGrid>
      <w:tr w14:paraId="45E1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59" w:type="dxa"/>
            <w:tcBorders>
              <w:top w:val="nil"/>
              <w:left w:val="nil"/>
              <w:bottom w:val="nil"/>
              <w:right w:val="nil"/>
            </w:tcBorders>
            <w:shd w:val="clear" w:color="auto" w:fill="auto"/>
            <w:noWrap/>
            <w:vAlign w:val="bottom"/>
          </w:tcPr>
          <w:p w14:paraId="5894B92C">
            <w:pPr>
              <w:rPr>
                <w:rFonts w:hint="eastAsia" w:ascii="Arial" w:hAnsi="Arial" w:cs="Arial"/>
                <w:i w:val="0"/>
                <w:iCs w:val="0"/>
                <w:color w:val="000000"/>
                <w:sz w:val="20"/>
                <w:szCs w:val="20"/>
                <w:u w:val="none"/>
              </w:rPr>
            </w:pPr>
          </w:p>
        </w:tc>
        <w:tc>
          <w:tcPr>
            <w:tcW w:w="2051" w:type="dxa"/>
            <w:tcBorders>
              <w:top w:val="nil"/>
              <w:left w:val="nil"/>
              <w:bottom w:val="nil"/>
              <w:right w:val="nil"/>
            </w:tcBorders>
            <w:shd w:val="clear" w:color="auto" w:fill="auto"/>
            <w:noWrap/>
            <w:vAlign w:val="bottom"/>
          </w:tcPr>
          <w:p w14:paraId="3A903E74">
            <w:pPr>
              <w:rPr>
                <w:rFonts w:hint="default" w:ascii="Arial" w:hAnsi="Arial" w:cs="Arial"/>
                <w:i w:val="0"/>
                <w:iCs w:val="0"/>
                <w:color w:val="000000"/>
                <w:sz w:val="20"/>
                <w:szCs w:val="20"/>
                <w:u w:val="none"/>
              </w:rPr>
            </w:pPr>
          </w:p>
        </w:tc>
        <w:tc>
          <w:tcPr>
            <w:tcW w:w="1440" w:type="dxa"/>
            <w:tcBorders>
              <w:top w:val="nil"/>
              <w:left w:val="nil"/>
              <w:bottom w:val="nil"/>
              <w:right w:val="nil"/>
            </w:tcBorders>
            <w:shd w:val="clear" w:color="auto" w:fill="auto"/>
            <w:noWrap/>
            <w:vAlign w:val="bottom"/>
          </w:tcPr>
          <w:p w14:paraId="6F37F37E">
            <w:pPr>
              <w:rPr>
                <w:rFonts w:hint="default" w:ascii="Arial" w:hAnsi="Arial" w:cs="Arial"/>
                <w:i w:val="0"/>
                <w:iCs w:val="0"/>
                <w:color w:val="000000"/>
                <w:sz w:val="20"/>
                <w:szCs w:val="20"/>
                <w:u w:val="none"/>
              </w:rPr>
            </w:pPr>
          </w:p>
        </w:tc>
        <w:tc>
          <w:tcPr>
            <w:tcW w:w="1395" w:type="dxa"/>
            <w:tcBorders>
              <w:top w:val="nil"/>
              <w:left w:val="nil"/>
              <w:bottom w:val="nil"/>
              <w:right w:val="nil"/>
            </w:tcBorders>
            <w:shd w:val="clear" w:color="auto" w:fill="auto"/>
            <w:noWrap/>
            <w:vAlign w:val="bottom"/>
          </w:tcPr>
          <w:p w14:paraId="441F3E2B">
            <w:pPr>
              <w:rPr>
                <w:rFonts w:hint="default" w:ascii="Arial" w:hAnsi="Arial" w:cs="Arial"/>
                <w:i w:val="0"/>
                <w:iCs w:val="0"/>
                <w:color w:val="000000"/>
                <w:sz w:val="20"/>
                <w:szCs w:val="20"/>
                <w:u w:val="none"/>
              </w:rPr>
            </w:pPr>
          </w:p>
        </w:tc>
        <w:tc>
          <w:tcPr>
            <w:tcW w:w="2550" w:type="dxa"/>
            <w:tcBorders>
              <w:top w:val="nil"/>
              <w:left w:val="nil"/>
              <w:bottom w:val="nil"/>
              <w:right w:val="nil"/>
            </w:tcBorders>
            <w:shd w:val="clear" w:color="auto" w:fill="auto"/>
            <w:noWrap/>
            <w:vAlign w:val="center"/>
          </w:tcPr>
          <w:p w14:paraId="5055EA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单位公开表7</w:t>
            </w:r>
          </w:p>
        </w:tc>
      </w:tr>
      <w:tr w14:paraId="21EF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195" w:type="dxa"/>
            <w:gridSpan w:val="5"/>
            <w:tcBorders>
              <w:top w:val="nil"/>
              <w:left w:val="nil"/>
              <w:bottom w:val="nil"/>
              <w:right w:val="nil"/>
            </w:tcBorders>
            <w:shd w:val="clear" w:color="auto" w:fill="auto"/>
            <w:noWrap/>
            <w:vAlign w:val="center"/>
          </w:tcPr>
          <w:p w14:paraId="7BEDB39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表七、2024年政府性基金预算支出表</w:t>
            </w:r>
          </w:p>
        </w:tc>
      </w:tr>
      <w:tr w14:paraId="77BD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50" w:type="dxa"/>
            <w:gridSpan w:val="3"/>
            <w:tcBorders>
              <w:top w:val="nil"/>
              <w:left w:val="nil"/>
              <w:bottom w:val="nil"/>
              <w:right w:val="nil"/>
            </w:tcBorders>
            <w:shd w:val="clear" w:color="auto" w:fill="auto"/>
            <w:noWrap/>
            <w:vAlign w:val="center"/>
          </w:tcPr>
          <w:p w14:paraId="4B438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1395" w:type="dxa"/>
            <w:tcBorders>
              <w:top w:val="nil"/>
              <w:left w:val="nil"/>
              <w:bottom w:val="nil"/>
              <w:right w:val="nil"/>
            </w:tcBorders>
            <w:shd w:val="clear" w:color="auto" w:fill="auto"/>
            <w:noWrap/>
            <w:vAlign w:val="center"/>
          </w:tcPr>
          <w:p w14:paraId="20B5320F">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noWrap/>
            <w:vAlign w:val="center"/>
          </w:tcPr>
          <w:p w14:paraId="4CB616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5A63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2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功能科目编码</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C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功能科目名称</w:t>
            </w:r>
          </w:p>
        </w:tc>
        <w:tc>
          <w:tcPr>
            <w:tcW w:w="53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2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政府性基金财政拨款支出</w:t>
            </w:r>
          </w:p>
        </w:tc>
      </w:tr>
      <w:tr w14:paraId="490E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F12E">
            <w:pPr>
              <w:jc w:val="center"/>
              <w:rPr>
                <w:rFonts w:hint="eastAsia" w:ascii="宋体" w:hAnsi="宋体" w:eastAsia="宋体" w:cs="宋体"/>
                <w:i w:val="0"/>
                <w:iCs w:val="0"/>
                <w:color w:val="000000"/>
                <w:sz w:val="20"/>
                <w:szCs w:val="20"/>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3071">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F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D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2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57B7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759" w:type="dxa"/>
            <w:tcBorders>
              <w:top w:val="single" w:color="000000" w:sz="4" w:space="0"/>
              <w:left w:val="single" w:color="000000" w:sz="4" w:space="0"/>
              <w:bottom w:val="nil"/>
              <w:right w:val="single" w:color="000000" w:sz="4" w:space="0"/>
            </w:tcBorders>
            <w:shd w:val="clear" w:color="auto" w:fill="auto"/>
            <w:noWrap/>
            <w:vAlign w:val="bottom"/>
          </w:tcPr>
          <w:p w14:paraId="7D70E93D">
            <w:pPr>
              <w:rPr>
                <w:rFonts w:hint="eastAsia" w:ascii="Calibri" w:hAnsi="Calibri" w:cs="Calibri"/>
                <w:i w:val="0"/>
                <w:iCs w:val="0"/>
                <w:color w:val="000000"/>
                <w:sz w:val="22"/>
                <w:szCs w:val="22"/>
                <w:u w:val="none"/>
              </w:rPr>
            </w:pPr>
          </w:p>
        </w:tc>
        <w:tc>
          <w:tcPr>
            <w:tcW w:w="2051" w:type="dxa"/>
            <w:tcBorders>
              <w:top w:val="single" w:color="000000" w:sz="4" w:space="0"/>
              <w:left w:val="single" w:color="000000" w:sz="4" w:space="0"/>
              <w:bottom w:val="nil"/>
              <w:right w:val="single" w:color="000000" w:sz="4" w:space="0"/>
            </w:tcBorders>
            <w:shd w:val="clear" w:color="auto" w:fill="auto"/>
            <w:noWrap/>
            <w:vAlign w:val="bottom"/>
          </w:tcPr>
          <w:p w14:paraId="296F42FE">
            <w:pPr>
              <w:rPr>
                <w:rFonts w:hint="default" w:ascii="Calibri" w:hAnsi="Calibri" w:cs="Calibri"/>
                <w:i w:val="0"/>
                <w:iCs w:val="0"/>
                <w:color w:val="000000"/>
                <w:sz w:val="22"/>
                <w:szCs w:val="22"/>
                <w:u w:val="none"/>
              </w:rPr>
            </w:pPr>
          </w:p>
        </w:tc>
        <w:tc>
          <w:tcPr>
            <w:tcW w:w="1440" w:type="dxa"/>
            <w:tcBorders>
              <w:top w:val="single" w:color="000000" w:sz="4" w:space="0"/>
              <w:left w:val="single" w:color="000000" w:sz="4" w:space="0"/>
              <w:bottom w:val="nil"/>
              <w:right w:val="single" w:color="000000" w:sz="4" w:space="0"/>
            </w:tcBorders>
            <w:shd w:val="clear" w:color="auto" w:fill="auto"/>
            <w:noWrap/>
            <w:vAlign w:val="bottom"/>
          </w:tcPr>
          <w:p w14:paraId="7FD75617">
            <w:pPr>
              <w:rPr>
                <w:rFonts w:hint="default" w:ascii="Calibri" w:hAnsi="Calibri" w:cs="Calibri"/>
                <w:i w:val="0"/>
                <w:iCs w:val="0"/>
                <w:color w:val="000000"/>
                <w:sz w:val="22"/>
                <w:szCs w:val="22"/>
                <w:u w:val="none"/>
              </w:rPr>
            </w:pPr>
          </w:p>
        </w:tc>
        <w:tc>
          <w:tcPr>
            <w:tcW w:w="1395" w:type="dxa"/>
            <w:tcBorders>
              <w:top w:val="single" w:color="000000" w:sz="4" w:space="0"/>
              <w:left w:val="single" w:color="000000" w:sz="4" w:space="0"/>
              <w:bottom w:val="nil"/>
              <w:right w:val="single" w:color="000000" w:sz="4" w:space="0"/>
            </w:tcBorders>
            <w:shd w:val="clear" w:color="auto" w:fill="auto"/>
            <w:noWrap/>
            <w:vAlign w:val="bottom"/>
          </w:tcPr>
          <w:p w14:paraId="26D54610">
            <w:pPr>
              <w:rPr>
                <w:rFonts w:hint="default" w:ascii="Calibri" w:hAnsi="Calibri" w:cs="Calibri"/>
                <w:i w:val="0"/>
                <w:iCs w:val="0"/>
                <w:color w:val="000000"/>
                <w:sz w:val="22"/>
                <w:szCs w:val="22"/>
                <w:u w:val="none"/>
              </w:rPr>
            </w:pPr>
          </w:p>
        </w:tc>
        <w:tc>
          <w:tcPr>
            <w:tcW w:w="2550" w:type="dxa"/>
            <w:tcBorders>
              <w:top w:val="single" w:color="000000" w:sz="4" w:space="0"/>
              <w:left w:val="single" w:color="000000" w:sz="4" w:space="0"/>
              <w:bottom w:val="nil"/>
              <w:right w:val="single" w:color="000000" w:sz="4" w:space="0"/>
            </w:tcBorders>
            <w:shd w:val="clear" w:color="auto" w:fill="auto"/>
            <w:noWrap/>
            <w:vAlign w:val="bottom"/>
          </w:tcPr>
          <w:p w14:paraId="30A73288">
            <w:pPr>
              <w:rPr>
                <w:rFonts w:hint="default" w:ascii="Calibri" w:hAnsi="Calibri" w:cs="Calibri"/>
                <w:i w:val="0"/>
                <w:iCs w:val="0"/>
                <w:color w:val="000000"/>
                <w:sz w:val="22"/>
                <w:szCs w:val="22"/>
                <w:u w:val="none"/>
              </w:rPr>
            </w:pPr>
          </w:p>
        </w:tc>
      </w:tr>
      <w:tr w14:paraId="5D1F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7A6AD">
            <w:pPr>
              <w:rPr>
                <w:rFonts w:hint="default" w:ascii="Calibri" w:hAnsi="Calibri" w:cs="Calibri"/>
                <w:i w:val="0"/>
                <w:iCs w:val="0"/>
                <w:color w:val="000000"/>
                <w:sz w:val="22"/>
                <w:szCs w:val="22"/>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52474">
            <w:pPr>
              <w:rPr>
                <w:rFonts w:hint="default" w:ascii="Calibri" w:hAnsi="Calibri" w:cs="Calibri"/>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1F378">
            <w:pPr>
              <w:rPr>
                <w:rFonts w:hint="default" w:ascii="Calibri" w:hAnsi="Calibri" w:cs="Calibri"/>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164BC">
            <w:pPr>
              <w:rPr>
                <w:rFonts w:hint="default" w:ascii="Calibri" w:hAnsi="Calibri" w:cs="Calibri"/>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7DDD0">
            <w:pPr>
              <w:rPr>
                <w:rFonts w:hint="default" w:ascii="Calibri" w:hAnsi="Calibri" w:cs="Calibri"/>
                <w:i w:val="0"/>
                <w:iCs w:val="0"/>
                <w:color w:val="000000"/>
                <w:sz w:val="22"/>
                <w:szCs w:val="22"/>
                <w:u w:val="none"/>
              </w:rPr>
            </w:pPr>
          </w:p>
        </w:tc>
      </w:tr>
      <w:tr w14:paraId="731F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95" w:type="dxa"/>
            <w:gridSpan w:val="5"/>
            <w:tcBorders>
              <w:top w:val="nil"/>
              <w:left w:val="nil"/>
              <w:bottom w:val="nil"/>
              <w:right w:val="nil"/>
            </w:tcBorders>
            <w:shd w:val="clear" w:color="auto" w:fill="auto"/>
            <w:noWrap/>
            <w:vAlign w:val="center"/>
          </w:tcPr>
          <w:p w14:paraId="0C681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注：本表反映单位本年度政府性基金收入安排的支出预算情况。</w:t>
            </w:r>
          </w:p>
        </w:tc>
      </w:tr>
      <w:tr w14:paraId="6D34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195" w:type="dxa"/>
            <w:gridSpan w:val="5"/>
            <w:tcBorders>
              <w:top w:val="nil"/>
              <w:left w:val="nil"/>
              <w:bottom w:val="nil"/>
              <w:right w:val="nil"/>
            </w:tcBorders>
            <w:shd w:val="clear" w:color="auto" w:fill="auto"/>
            <w:noWrap/>
            <w:vAlign w:val="center"/>
          </w:tcPr>
          <w:p w14:paraId="708C85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说明：黄山市人大预算联网监督中心没有政府性基金预算拨款收入，也没有政府性基金预算拨款安排的支出，故本表无数据。</w:t>
            </w:r>
          </w:p>
        </w:tc>
      </w:tr>
    </w:tbl>
    <w:p w14:paraId="44025EE6">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end"/>
      </w:r>
    </w:p>
    <w:p w14:paraId="60234F77">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6A4DCD9D">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begin"/>
      </w:r>
      <w:r>
        <w:instrText xml:space="preserve"> LINK Excel.Sheet.8 "C:\\Users\\apple\\Desktop\\2024年预算公开\\预算中心\\黄山市2024年部门预算公开表（包含结转）_(003002)黄山市人大预算联网监督中心.xls" "表八、国有资本经营预算支出表!R1C1:R9C5" \h \a </w:instrText>
      </w:r>
      <w:r>
        <w:rPr>
          <w:rFonts w:hint="eastAsia" w:ascii="TimesNewRoman" w:hAnsi="TimesNewRoman" w:eastAsia="黑体" w:cs="TimesNewRoman"/>
          <w:bCs/>
          <w:sz w:val="36"/>
          <w:szCs w:val="36"/>
          <w:lang w:eastAsia="zh-CN"/>
        </w:rPr>
        <w:fldChar w:fldCharType="separate"/>
      </w:r>
    </w:p>
    <w:tbl>
      <w:tblPr>
        <w:tblStyle w:val="8"/>
        <w:tblW w:w="9636" w:type="dxa"/>
        <w:tblInd w:w="-4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8"/>
        <w:gridCol w:w="1309"/>
        <w:gridCol w:w="1383"/>
        <w:gridCol w:w="3710"/>
        <w:gridCol w:w="1406"/>
      </w:tblGrid>
      <w:tr w14:paraId="04CB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828" w:type="dxa"/>
            <w:tcBorders>
              <w:top w:val="nil"/>
              <w:left w:val="nil"/>
              <w:bottom w:val="nil"/>
              <w:right w:val="nil"/>
            </w:tcBorders>
            <w:shd w:val="clear" w:color="auto" w:fill="auto"/>
            <w:noWrap/>
            <w:vAlign w:val="bottom"/>
          </w:tcPr>
          <w:p w14:paraId="7737C701">
            <w:pPr>
              <w:rPr>
                <w:rFonts w:hint="eastAsia" w:ascii="Arial" w:hAnsi="Arial" w:cs="Arial"/>
                <w:i w:val="0"/>
                <w:iCs w:val="0"/>
                <w:color w:val="000000"/>
                <w:sz w:val="20"/>
                <w:szCs w:val="20"/>
                <w:u w:val="none"/>
              </w:rPr>
            </w:pPr>
          </w:p>
        </w:tc>
        <w:tc>
          <w:tcPr>
            <w:tcW w:w="1309" w:type="dxa"/>
            <w:tcBorders>
              <w:top w:val="nil"/>
              <w:left w:val="nil"/>
              <w:bottom w:val="nil"/>
              <w:right w:val="nil"/>
            </w:tcBorders>
            <w:shd w:val="clear" w:color="auto" w:fill="auto"/>
            <w:noWrap/>
            <w:vAlign w:val="bottom"/>
          </w:tcPr>
          <w:p w14:paraId="1DE355EF">
            <w:pPr>
              <w:rPr>
                <w:rFonts w:hint="default" w:ascii="Arial" w:hAnsi="Arial" w:cs="Arial"/>
                <w:i w:val="0"/>
                <w:iCs w:val="0"/>
                <w:color w:val="000000"/>
                <w:sz w:val="20"/>
                <w:szCs w:val="20"/>
                <w:u w:val="none"/>
              </w:rPr>
            </w:pPr>
          </w:p>
        </w:tc>
        <w:tc>
          <w:tcPr>
            <w:tcW w:w="1383" w:type="dxa"/>
            <w:tcBorders>
              <w:top w:val="nil"/>
              <w:left w:val="nil"/>
              <w:bottom w:val="nil"/>
              <w:right w:val="nil"/>
            </w:tcBorders>
            <w:shd w:val="clear" w:color="auto" w:fill="auto"/>
            <w:noWrap/>
            <w:vAlign w:val="bottom"/>
          </w:tcPr>
          <w:p w14:paraId="647D3BD0">
            <w:pPr>
              <w:rPr>
                <w:rFonts w:hint="default" w:ascii="Arial" w:hAnsi="Arial" w:cs="Arial"/>
                <w:i w:val="0"/>
                <w:iCs w:val="0"/>
                <w:color w:val="000000"/>
                <w:sz w:val="20"/>
                <w:szCs w:val="20"/>
                <w:u w:val="none"/>
              </w:rPr>
            </w:pPr>
          </w:p>
        </w:tc>
        <w:tc>
          <w:tcPr>
            <w:tcW w:w="3710" w:type="dxa"/>
            <w:tcBorders>
              <w:top w:val="nil"/>
              <w:left w:val="nil"/>
              <w:bottom w:val="nil"/>
              <w:right w:val="nil"/>
            </w:tcBorders>
            <w:shd w:val="clear" w:color="auto" w:fill="auto"/>
            <w:noWrap/>
            <w:vAlign w:val="bottom"/>
          </w:tcPr>
          <w:p w14:paraId="372731A1">
            <w:pPr>
              <w:rPr>
                <w:rFonts w:hint="default" w:ascii="Arial" w:hAnsi="Arial" w:cs="Arial"/>
                <w:i w:val="0"/>
                <w:iCs w:val="0"/>
                <w:color w:val="000000"/>
                <w:sz w:val="20"/>
                <w:szCs w:val="20"/>
                <w:u w:val="none"/>
              </w:rPr>
            </w:pPr>
          </w:p>
        </w:tc>
        <w:tc>
          <w:tcPr>
            <w:tcW w:w="1406" w:type="dxa"/>
            <w:tcBorders>
              <w:top w:val="nil"/>
              <w:left w:val="nil"/>
              <w:bottom w:val="nil"/>
              <w:right w:val="nil"/>
            </w:tcBorders>
            <w:shd w:val="clear" w:color="auto" w:fill="auto"/>
            <w:noWrap/>
            <w:vAlign w:val="center"/>
          </w:tcPr>
          <w:p w14:paraId="6BABBF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单位公开表8</w:t>
            </w:r>
          </w:p>
        </w:tc>
      </w:tr>
      <w:tr w14:paraId="3C4C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636" w:type="dxa"/>
            <w:gridSpan w:val="5"/>
            <w:tcBorders>
              <w:top w:val="nil"/>
              <w:left w:val="nil"/>
              <w:bottom w:val="nil"/>
              <w:right w:val="nil"/>
            </w:tcBorders>
            <w:shd w:val="clear" w:color="auto" w:fill="auto"/>
            <w:noWrap/>
            <w:vAlign w:val="center"/>
          </w:tcPr>
          <w:p w14:paraId="0EAE2B9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表八、2024年国有资本经营预算支出表</w:t>
            </w:r>
          </w:p>
        </w:tc>
      </w:tr>
      <w:tr w14:paraId="46CF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4520" w:type="dxa"/>
            <w:gridSpan w:val="3"/>
            <w:tcBorders>
              <w:top w:val="nil"/>
              <w:left w:val="nil"/>
              <w:bottom w:val="nil"/>
              <w:right w:val="nil"/>
            </w:tcBorders>
            <w:shd w:val="clear" w:color="auto" w:fill="auto"/>
            <w:noWrap/>
            <w:vAlign w:val="center"/>
          </w:tcPr>
          <w:p w14:paraId="4C4C1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3710" w:type="dxa"/>
            <w:tcBorders>
              <w:top w:val="nil"/>
              <w:left w:val="nil"/>
              <w:bottom w:val="nil"/>
              <w:right w:val="nil"/>
            </w:tcBorders>
            <w:shd w:val="clear" w:color="auto" w:fill="auto"/>
            <w:noWrap/>
            <w:vAlign w:val="center"/>
          </w:tcPr>
          <w:p w14:paraId="407A28CC">
            <w:pPr>
              <w:rPr>
                <w:rFonts w:hint="eastAsia" w:ascii="Calibri" w:hAnsi="Calibri" w:cs="Calibri"/>
                <w:i w:val="0"/>
                <w:iCs w:val="0"/>
                <w:color w:val="000000"/>
                <w:sz w:val="18"/>
                <w:szCs w:val="18"/>
                <w:u w:val="none"/>
              </w:rPr>
            </w:pPr>
          </w:p>
        </w:tc>
        <w:tc>
          <w:tcPr>
            <w:tcW w:w="1406" w:type="dxa"/>
            <w:tcBorders>
              <w:top w:val="nil"/>
              <w:left w:val="nil"/>
              <w:bottom w:val="nil"/>
              <w:right w:val="nil"/>
            </w:tcBorders>
            <w:shd w:val="clear" w:color="auto" w:fill="auto"/>
            <w:noWrap/>
            <w:vAlign w:val="center"/>
          </w:tcPr>
          <w:p w14:paraId="203597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13E9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F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功能科目编码</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9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功能科目名称</w:t>
            </w:r>
          </w:p>
        </w:tc>
        <w:tc>
          <w:tcPr>
            <w:tcW w:w="6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6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国有资本经营预算财政拨款支出</w:t>
            </w:r>
          </w:p>
        </w:tc>
      </w:tr>
      <w:tr w14:paraId="717A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BF2D">
            <w:pPr>
              <w:jc w:val="center"/>
              <w:rPr>
                <w:rFonts w:hint="eastAsia" w:ascii="宋体" w:hAnsi="宋体" w:eastAsia="宋体" w:cs="宋体"/>
                <w:i w:val="0"/>
                <w:iCs w:val="0"/>
                <w:color w:val="000000"/>
                <w:sz w:val="20"/>
                <w:szCs w:val="20"/>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033F">
            <w:pPr>
              <w:jc w:val="center"/>
              <w:rPr>
                <w:rFonts w:hint="eastAsia" w:ascii="宋体" w:hAnsi="宋体" w:eastAsia="宋体" w:cs="宋体"/>
                <w:i w:val="0"/>
                <w:iCs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9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D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D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0974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7B6CB">
            <w:pPr>
              <w:rPr>
                <w:rFonts w:hint="default" w:ascii="Calibri" w:hAnsi="Calibri" w:cs="Calibri"/>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980BA">
            <w:pPr>
              <w:rPr>
                <w:rFonts w:hint="default" w:ascii="Calibri" w:hAnsi="Calibri" w:cs="Calibri"/>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6238E">
            <w:pPr>
              <w:rPr>
                <w:rFonts w:hint="default" w:ascii="Calibri" w:hAnsi="Calibri" w:cs="Calibri"/>
                <w:i w:val="0"/>
                <w:iCs w:val="0"/>
                <w:color w:val="000000"/>
                <w:sz w:val="22"/>
                <w:szCs w:val="22"/>
                <w:u w:val="none"/>
              </w:rPr>
            </w:pP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2B11F">
            <w:pPr>
              <w:rPr>
                <w:rFonts w:hint="default" w:ascii="Calibri" w:hAnsi="Calibri" w:cs="Calibri"/>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E8AA3">
            <w:pPr>
              <w:rPr>
                <w:rFonts w:hint="default" w:ascii="Calibri" w:hAnsi="Calibri" w:cs="Calibri"/>
                <w:i w:val="0"/>
                <w:iCs w:val="0"/>
                <w:color w:val="000000"/>
                <w:sz w:val="22"/>
                <w:szCs w:val="22"/>
                <w:u w:val="none"/>
              </w:rPr>
            </w:pPr>
          </w:p>
        </w:tc>
      </w:tr>
      <w:tr w14:paraId="2FC2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C9D7C">
            <w:pPr>
              <w:rPr>
                <w:rFonts w:hint="default" w:ascii="Calibri" w:hAnsi="Calibri" w:cs="Calibri"/>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48A3F">
            <w:pPr>
              <w:rPr>
                <w:rFonts w:hint="default" w:ascii="Calibri" w:hAnsi="Calibri" w:cs="Calibri"/>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4C866">
            <w:pPr>
              <w:rPr>
                <w:rFonts w:hint="default" w:ascii="Calibri" w:hAnsi="Calibri" w:cs="Calibri"/>
                <w:i w:val="0"/>
                <w:iCs w:val="0"/>
                <w:color w:val="000000"/>
                <w:sz w:val="22"/>
                <w:szCs w:val="22"/>
                <w:u w:val="none"/>
              </w:rPr>
            </w:pP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2EBAE">
            <w:pPr>
              <w:rPr>
                <w:rFonts w:hint="default" w:ascii="Calibri" w:hAnsi="Calibri" w:cs="Calibri"/>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34347">
            <w:pPr>
              <w:rPr>
                <w:rFonts w:hint="default" w:ascii="Calibri" w:hAnsi="Calibri" w:cs="Calibri"/>
                <w:i w:val="0"/>
                <w:iCs w:val="0"/>
                <w:color w:val="000000"/>
                <w:sz w:val="22"/>
                <w:szCs w:val="22"/>
                <w:u w:val="none"/>
              </w:rPr>
            </w:pPr>
          </w:p>
        </w:tc>
      </w:tr>
      <w:tr w14:paraId="7197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636" w:type="dxa"/>
            <w:gridSpan w:val="5"/>
            <w:tcBorders>
              <w:top w:val="nil"/>
              <w:left w:val="nil"/>
              <w:bottom w:val="nil"/>
              <w:right w:val="nil"/>
            </w:tcBorders>
            <w:shd w:val="clear" w:color="auto" w:fill="auto"/>
            <w:noWrap/>
            <w:vAlign w:val="center"/>
          </w:tcPr>
          <w:p w14:paraId="7A60CC0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注：本表反映单位本年度国有资本经营预算支出情况。</w:t>
            </w:r>
          </w:p>
        </w:tc>
      </w:tr>
      <w:tr w14:paraId="0939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636" w:type="dxa"/>
            <w:gridSpan w:val="5"/>
            <w:tcBorders>
              <w:top w:val="nil"/>
              <w:left w:val="nil"/>
              <w:bottom w:val="nil"/>
              <w:right w:val="nil"/>
            </w:tcBorders>
            <w:shd w:val="clear" w:color="auto" w:fill="auto"/>
            <w:noWrap/>
            <w:vAlign w:val="center"/>
          </w:tcPr>
          <w:p w14:paraId="1084B9C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说明：黄山市人大预算联网监督中心没有国有资本经营预算拨款收入，也没有国有资本经营预算拨款安排的支出，故本表无数据。</w:t>
            </w:r>
          </w:p>
        </w:tc>
      </w:tr>
    </w:tbl>
    <w:p w14:paraId="7BD80613">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end"/>
      </w:r>
    </w:p>
    <w:p w14:paraId="668E7BBB">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10F039FB">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0B086BD5">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69FC6165">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41979530">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720CF961">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begin"/>
      </w:r>
      <w:r>
        <w:instrText xml:space="preserve"> LINK Excel.Sheet.8 "C:\\Users\\apple\\Desktop\\2024年预算公开\\预算中心\\黄山市2024年部门预算公开表（包含结转）_(003002)黄山市人大预算联网监督中心.xls" "表九、基本支出表!R1C1:R21C4" \h \a </w:instrText>
      </w:r>
      <w:r>
        <w:rPr>
          <w:rFonts w:hint="eastAsia" w:ascii="TimesNewRoman" w:hAnsi="TimesNewRoman" w:eastAsia="黑体" w:cs="TimesNewRoman"/>
          <w:bCs/>
          <w:sz w:val="36"/>
          <w:szCs w:val="36"/>
          <w:lang w:eastAsia="zh-CN"/>
        </w:rPr>
        <w:fldChar w:fldCharType="separate"/>
      </w:r>
    </w:p>
    <w:tbl>
      <w:tblPr>
        <w:tblStyle w:val="8"/>
        <w:tblW w:w="7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1"/>
        <w:gridCol w:w="2925"/>
        <w:gridCol w:w="1710"/>
        <w:gridCol w:w="2129"/>
      </w:tblGrid>
      <w:tr w14:paraId="0E8B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70" w:type="dxa"/>
            <w:tcBorders>
              <w:top w:val="nil"/>
              <w:left w:val="nil"/>
              <w:bottom w:val="nil"/>
              <w:right w:val="nil"/>
            </w:tcBorders>
            <w:shd w:val="clear" w:color="auto" w:fill="auto"/>
            <w:noWrap/>
            <w:vAlign w:val="bottom"/>
          </w:tcPr>
          <w:p w14:paraId="6ED10696">
            <w:pPr>
              <w:rPr>
                <w:rFonts w:hint="eastAsia" w:ascii="Arial" w:hAnsi="Arial" w:cs="Arial"/>
                <w:i w:val="0"/>
                <w:iCs w:val="0"/>
                <w:color w:val="000000"/>
                <w:sz w:val="20"/>
                <w:szCs w:val="20"/>
                <w:u w:val="none"/>
              </w:rPr>
            </w:pPr>
          </w:p>
        </w:tc>
        <w:tc>
          <w:tcPr>
            <w:tcW w:w="2925" w:type="dxa"/>
            <w:tcBorders>
              <w:top w:val="nil"/>
              <w:left w:val="nil"/>
              <w:bottom w:val="nil"/>
              <w:right w:val="nil"/>
            </w:tcBorders>
            <w:shd w:val="clear" w:color="auto" w:fill="auto"/>
            <w:noWrap/>
            <w:vAlign w:val="bottom"/>
          </w:tcPr>
          <w:p w14:paraId="203956C3">
            <w:pPr>
              <w:rPr>
                <w:rFonts w:hint="default" w:ascii="Arial" w:hAnsi="Arial" w:cs="Arial"/>
                <w:i w:val="0"/>
                <w:iCs w:val="0"/>
                <w:color w:val="000000"/>
                <w:sz w:val="20"/>
                <w:szCs w:val="20"/>
                <w:u w:val="none"/>
              </w:rPr>
            </w:pPr>
          </w:p>
        </w:tc>
        <w:tc>
          <w:tcPr>
            <w:tcW w:w="1710" w:type="dxa"/>
            <w:tcBorders>
              <w:top w:val="nil"/>
              <w:left w:val="nil"/>
              <w:bottom w:val="nil"/>
              <w:right w:val="nil"/>
            </w:tcBorders>
            <w:shd w:val="clear" w:color="auto" w:fill="auto"/>
            <w:noWrap/>
            <w:vAlign w:val="bottom"/>
          </w:tcPr>
          <w:p w14:paraId="52BA57CE">
            <w:pPr>
              <w:jc w:val="center"/>
              <w:rPr>
                <w:rFonts w:hint="default" w:ascii="Arial" w:hAnsi="Arial" w:cs="Arial"/>
                <w:i w:val="0"/>
                <w:iCs w:val="0"/>
                <w:color w:val="000000"/>
                <w:sz w:val="20"/>
                <w:szCs w:val="20"/>
                <w:u w:val="none"/>
              </w:rPr>
            </w:pPr>
          </w:p>
        </w:tc>
        <w:tc>
          <w:tcPr>
            <w:tcW w:w="2010" w:type="dxa"/>
            <w:tcBorders>
              <w:top w:val="nil"/>
              <w:left w:val="nil"/>
              <w:bottom w:val="nil"/>
              <w:right w:val="nil"/>
            </w:tcBorders>
            <w:shd w:val="clear" w:color="auto" w:fill="auto"/>
            <w:noWrap/>
            <w:vAlign w:val="center"/>
          </w:tcPr>
          <w:p w14:paraId="78592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单位公开表9</w:t>
            </w:r>
          </w:p>
        </w:tc>
      </w:tr>
      <w:tr w14:paraId="13CD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4"/>
            <w:tcBorders>
              <w:top w:val="nil"/>
              <w:left w:val="nil"/>
              <w:bottom w:val="nil"/>
              <w:right w:val="nil"/>
            </w:tcBorders>
            <w:shd w:val="clear" w:color="auto" w:fill="auto"/>
            <w:noWrap/>
            <w:vAlign w:val="center"/>
          </w:tcPr>
          <w:p w14:paraId="44D1DA2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表九、2024年基本支出总表</w:t>
            </w:r>
          </w:p>
        </w:tc>
      </w:tr>
      <w:tr w14:paraId="33CA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3"/>
            <w:tcBorders>
              <w:top w:val="nil"/>
              <w:left w:val="nil"/>
              <w:bottom w:val="nil"/>
              <w:right w:val="nil"/>
            </w:tcBorders>
            <w:shd w:val="clear" w:color="auto" w:fill="auto"/>
            <w:noWrap/>
            <w:vAlign w:val="center"/>
          </w:tcPr>
          <w:p w14:paraId="2AE98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0" w:type="auto"/>
            <w:tcBorders>
              <w:top w:val="nil"/>
              <w:left w:val="nil"/>
              <w:bottom w:val="nil"/>
              <w:right w:val="nil"/>
            </w:tcBorders>
            <w:shd w:val="clear" w:color="auto" w:fill="auto"/>
            <w:noWrap/>
            <w:vAlign w:val="center"/>
          </w:tcPr>
          <w:p w14:paraId="5A8B3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35CD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7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0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5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C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其中：一般公共预算</w:t>
            </w:r>
          </w:p>
        </w:tc>
      </w:tr>
      <w:tr w14:paraId="23B0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E43B">
            <w:pPr>
              <w:jc w:val="lef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0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F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9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54.76</w:t>
            </w:r>
          </w:p>
        </w:tc>
      </w:tr>
      <w:tr w14:paraId="4507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A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E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3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51.37</w:t>
            </w:r>
          </w:p>
        </w:tc>
      </w:tr>
      <w:tr w14:paraId="705E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A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E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B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D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18.93</w:t>
            </w:r>
          </w:p>
        </w:tc>
      </w:tr>
      <w:tr w14:paraId="0DA7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1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32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A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8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w:t>
            </w:r>
          </w:p>
        </w:tc>
      </w:tr>
      <w:tr w14:paraId="5876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9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0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A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00FA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1F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F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6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C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r>
      <w:tr w14:paraId="5354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B1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B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1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1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r>
      <w:tr w14:paraId="0185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7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4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8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2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r>
      <w:tr w14:paraId="5497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E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3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8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2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r>
      <w:tr w14:paraId="3879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D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1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C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B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r>
      <w:tr w14:paraId="7004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F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E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6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B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r>
      <w:tr w14:paraId="75ED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6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2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A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D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r>
      <w:tr w14:paraId="3A2F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1E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C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6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4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14:paraId="2087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A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8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w:t>
            </w:r>
          </w:p>
        </w:tc>
      </w:tr>
      <w:tr w14:paraId="1D6D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9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5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福利费</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D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6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w:t>
            </w:r>
          </w:p>
        </w:tc>
      </w:tr>
      <w:tr w14:paraId="031B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4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5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6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A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r>
      <w:tr w14:paraId="69DB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3"/>
            <w:tcBorders>
              <w:top w:val="nil"/>
              <w:left w:val="nil"/>
              <w:bottom w:val="nil"/>
              <w:right w:val="nil"/>
            </w:tcBorders>
            <w:shd w:val="clear" w:color="auto" w:fill="auto"/>
            <w:noWrap/>
            <w:vAlign w:val="center"/>
          </w:tcPr>
          <w:p w14:paraId="6AF65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注：本表反映单位本年各项基本支出预算情况。</w:t>
            </w:r>
          </w:p>
        </w:tc>
        <w:tc>
          <w:tcPr>
            <w:tcW w:w="0" w:type="auto"/>
            <w:tcBorders>
              <w:top w:val="nil"/>
              <w:left w:val="nil"/>
              <w:bottom w:val="nil"/>
              <w:right w:val="nil"/>
            </w:tcBorders>
            <w:shd w:val="clear" w:color="auto" w:fill="auto"/>
            <w:noWrap/>
            <w:vAlign w:val="bottom"/>
          </w:tcPr>
          <w:p w14:paraId="25F2D5AB">
            <w:pPr>
              <w:jc w:val="center"/>
              <w:rPr>
                <w:rFonts w:hint="default" w:ascii="Arial" w:hAnsi="Arial" w:cs="Arial"/>
                <w:i w:val="0"/>
                <w:iCs w:val="0"/>
                <w:color w:val="000000"/>
                <w:sz w:val="20"/>
                <w:szCs w:val="20"/>
                <w:u w:val="none"/>
              </w:rPr>
            </w:pPr>
          </w:p>
        </w:tc>
      </w:tr>
    </w:tbl>
    <w:p w14:paraId="788836B1">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end"/>
      </w:r>
    </w:p>
    <w:p w14:paraId="08B8AB8B">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07E6B5B3">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5963B94C">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64099D3E">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479C7D89">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02EA9F2D">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261D508B">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178F87A2">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begin"/>
      </w:r>
      <w:r>
        <w:instrText xml:space="preserve"> LINK Excel.Sheet.8 "C:\\Users\\apple\\Desktop\\2024年预算公开\\预算中心\\黄山市2024年部门预算公开表（包含结转）_(003002)黄山市人大预算联网监督中心.xls" "表十、项目支出表!R1C1:R10C11" \h \a </w:instrText>
      </w:r>
      <w:r>
        <w:rPr>
          <w:rFonts w:hint="eastAsia" w:ascii="TimesNewRoman" w:hAnsi="TimesNewRoman" w:eastAsia="黑体" w:cs="TimesNewRoman"/>
          <w:bCs/>
          <w:sz w:val="36"/>
          <w:szCs w:val="36"/>
          <w:lang w:eastAsia="zh-CN"/>
        </w:rPr>
        <w:fldChar w:fldCharType="separate"/>
      </w:r>
    </w:p>
    <w:tbl>
      <w:tblPr>
        <w:tblStyle w:val="8"/>
        <w:tblW w:w="10185" w:type="dxa"/>
        <w:tblInd w:w="-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0"/>
        <w:gridCol w:w="2001"/>
        <w:gridCol w:w="666"/>
        <w:gridCol w:w="706"/>
        <w:gridCol w:w="716"/>
        <w:gridCol w:w="666"/>
        <w:gridCol w:w="747"/>
        <w:gridCol w:w="797"/>
        <w:gridCol w:w="686"/>
        <w:gridCol w:w="747"/>
        <w:gridCol w:w="1133"/>
      </w:tblGrid>
      <w:tr w14:paraId="11F1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320" w:type="dxa"/>
            <w:tcBorders>
              <w:top w:val="nil"/>
              <w:left w:val="nil"/>
              <w:bottom w:val="nil"/>
              <w:right w:val="nil"/>
            </w:tcBorders>
            <w:shd w:val="clear" w:color="auto" w:fill="auto"/>
            <w:noWrap/>
            <w:vAlign w:val="center"/>
          </w:tcPr>
          <w:p w14:paraId="5CF0A0C9">
            <w:pPr>
              <w:jc w:val="center"/>
              <w:rPr>
                <w:rFonts w:hint="eastAsia" w:ascii="宋体" w:hAnsi="宋体" w:eastAsia="宋体" w:cs="宋体"/>
                <w:i w:val="0"/>
                <w:iCs w:val="0"/>
                <w:color w:val="000000"/>
                <w:sz w:val="18"/>
                <w:szCs w:val="18"/>
                <w:u w:val="none"/>
              </w:rPr>
            </w:pPr>
          </w:p>
        </w:tc>
        <w:tc>
          <w:tcPr>
            <w:tcW w:w="2001" w:type="dxa"/>
            <w:tcBorders>
              <w:top w:val="nil"/>
              <w:left w:val="nil"/>
              <w:bottom w:val="nil"/>
              <w:right w:val="nil"/>
            </w:tcBorders>
            <w:shd w:val="clear" w:color="auto" w:fill="auto"/>
            <w:noWrap/>
            <w:vAlign w:val="center"/>
          </w:tcPr>
          <w:p w14:paraId="1E3017BC">
            <w:pPr>
              <w:jc w:val="cente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noWrap/>
            <w:vAlign w:val="center"/>
          </w:tcPr>
          <w:p w14:paraId="2EA8EB8B">
            <w:pPr>
              <w:jc w:val="center"/>
              <w:rPr>
                <w:rFonts w:hint="eastAsia" w:ascii="宋体" w:hAnsi="宋体" w:eastAsia="宋体" w:cs="宋体"/>
                <w:i w:val="0"/>
                <w:iCs w:val="0"/>
                <w:color w:val="000000"/>
                <w:sz w:val="18"/>
                <w:szCs w:val="18"/>
                <w:u w:val="none"/>
              </w:rPr>
            </w:pPr>
          </w:p>
        </w:tc>
        <w:tc>
          <w:tcPr>
            <w:tcW w:w="706" w:type="dxa"/>
            <w:tcBorders>
              <w:top w:val="nil"/>
              <w:left w:val="nil"/>
              <w:bottom w:val="nil"/>
              <w:right w:val="nil"/>
            </w:tcBorders>
            <w:shd w:val="clear" w:color="auto" w:fill="auto"/>
            <w:noWrap/>
            <w:vAlign w:val="center"/>
          </w:tcPr>
          <w:p w14:paraId="7AB58D27">
            <w:pPr>
              <w:jc w:val="center"/>
              <w:rPr>
                <w:rFonts w:hint="eastAsia" w:ascii="宋体" w:hAnsi="宋体" w:eastAsia="宋体" w:cs="宋体"/>
                <w:i w:val="0"/>
                <w:iCs w:val="0"/>
                <w:color w:val="000000"/>
                <w:sz w:val="18"/>
                <w:szCs w:val="18"/>
                <w:u w:val="none"/>
              </w:rPr>
            </w:pPr>
          </w:p>
        </w:tc>
        <w:tc>
          <w:tcPr>
            <w:tcW w:w="716" w:type="dxa"/>
            <w:tcBorders>
              <w:top w:val="nil"/>
              <w:left w:val="nil"/>
              <w:bottom w:val="nil"/>
              <w:right w:val="nil"/>
            </w:tcBorders>
            <w:shd w:val="clear" w:color="auto" w:fill="auto"/>
            <w:noWrap/>
            <w:vAlign w:val="center"/>
          </w:tcPr>
          <w:p w14:paraId="7F30A716">
            <w:pPr>
              <w:jc w:val="cente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noWrap/>
            <w:vAlign w:val="center"/>
          </w:tcPr>
          <w:p w14:paraId="686D803F">
            <w:pPr>
              <w:jc w:val="center"/>
              <w:rPr>
                <w:rFonts w:hint="eastAsia" w:ascii="宋体" w:hAnsi="宋体" w:eastAsia="宋体" w:cs="宋体"/>
                <w:i w:val="0"/>
                <w:iCs w:val="0"/>
                <w:color w:val="000000"/>
                <w:sz w:val="18"/>
                <w:szCs w:val="18"/>
                <w:u w:val="none"/>
              </w:rPr>
            </w:pPr>
          </w:p>
        </w:tc>
        <w:tc>
          <w:tcPr>
            <w:tcW w:w="747" w:type="dxa"/>
            <w:tcBorders>
              <w:top w:val="nil"/>
              <w:left w:val="nil"/>
              <w:bottom w:val="nil"/>
              <w:right w:val="nil"/>
            </w:tcBorders>
            <w:shd w:val="clear" w:color="auto" w:fill="auto"/>
            <w:noWrap/>
            <w:vAlign w:val="center"/>
          </w:tcPr>
          <w:p w14:paraId="673B1816">
            <w:pPr>
              <w:jc w:val="center"/>
              <w:rPr>
                <w:rFonts w:hint="eastAsia" w:ascii="宋体" w:hAnsi="宋体" w:eastAsia="宋体" w:cs="宋体"/>
                <w:i w:val="0"/>
                <w:iCs w:val="0"/>
                <w:color w:val="000000"/>
                <w:sz w:val="18"/>
                <w:szCs w:val="18"/>
                <w:u w:val="none"/>
              </w:rPr>
            </w:pPr>
          </w:p>
        </w:tc>
        <w:tc>
          <w:tcPr>
            <w:tcW w:w="797" w:type="dxa"/>
            <w:tcBorders>
              <w:top w:val="nil"/>
              <w:left w:val="nil"/>
              <w:bottom w:val="nil"/>
              <w:right w:val="nil"/>
            </w:tcBorders>
            <w:shd w:val="clear" w:color="auto" w:fill="auto"/>
            <w:noWrap/>
            <w:vAlign w:val="center"/>
          </w:tcPr>
          <w:p w14:paraId="72FA3F33">
            <w:pPr>
              <w:jc w:val="center"/>
              <w:rPr>
                <w:rFonts w:hint="eastAsia" w:ascii="宋体" w:hAnsi="宋体" w:eastAsia="宋体" w:cs="宋体"/>
                <w:i w:val="0"/>
                <w:iCs w:val="0"/>
                <w:color w:val="000000"/>
                <w:sz w:val="18"/>
                <w:szCs w:val="18"/>
                <w:u w:val="none"/>
              </w:rPr>
            </w:pPr>
          </w:p>
        </w:tc>
        <w:tc>
          <w:tcPr>
            <w:tcW w:w="686" w:type="dxa"/>
            <w:tcBorders>
              <w:top w:val="nil"/>
              <w:left w:val="nil"/>
              <w:bottom w:val="nil"/>
              <w:right w:val="nil"/>
            </w:tcBorders>
            <w:shd w:val="clear" w:color="auto" w:fill="auto"/>
            <w:noWrap/>
            <w:vAlign w:val="center"/>
          </w:tcPr>
          <w:p w14:paraId="2A9AF3F5">
            <w:pPr>
              <w:jc w:val="center"/>
              <w:rPr>
                <w:rFonts w:hint="eastAsia" w:ascii="宋体" w:hAnsi="宋体" w:eastAsia="宋体" w:cs="宋体"/>
                <w:i w:val="0"/>
                <w:iCs w:val="0"/>
                <w:color w:val="000000"/>
                <w:sz w:val="18"/>
                <w:szCs w:val="18"/>
                <w:u w:val="none"/>
              </w:rPr>
            </w:pPr>
          </w:p>
        </w:tc>
        <w:tc>
          <w:tcPr>
            <w:tcW w:w="747" w:type="dxa"/>
            <w:tcBorders>
              <w:top w:val="nil"/>
              <w:left w:val="nil"/>
              <w:bottom w:val="nil"/>
              <w:right w:val="nil"/>
            </w:tcBorders>
            <w:shd w:val="clear" w:color="auto" w:fill="auto"/>
            <w:noWrap/>
            <w:vAlign w:val="center"/>
          </w:tcPr>
          <w:p w14:paraId="137666C5">
            <w:pPr>
              <w:jc w:val="cente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noWrap/>
            <w:vAlign w:val="center"/>
          </w:tcPr>
          <w:p w14:paraId="7BAE9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单位公开表10</w:t>
            </w:r>
          </w:p>
        </w:tc>
      </w:tr>
      <w:tr w14:paraId="7FAE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0185" w:type="dxa"/>
            <w:gridSpan w:val="11"/>
            <w:tcBorders>
              <w:top w:val="nil"/>
              <w:left w:val="nil"/>
              <w:bottom w:val="nil"/>
              <w:right w:val="nil"/>
            </w:tcBorders>
            <w:shd w:val="clear" w:color="auto" w:fill="auto"/>
            <w:noWrap/>
            <w:vAlign w:val="center"/>
          </w:tcPr>
          <w:p w14:paraId="3002B5E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表十、2024年项目支出总表</w:t>
            </w:r>
          </w:p>
        </w:tc>
      </w:tr>
      <w:tr w14:paraId="61C3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409" w:type="dxa"/>
            <w:gridSpan w:val="5"/>
            <w:tcBorders>
              <w:top w:val="nil"/>
              <w:left w:val="nil"/>
              <w:bottom w:val="nil"/>
              <w:right w:val="nil"/>
            </w:tcBorders>
            <w:shd w:val="clear" w:color="auto" w:fill="auto"/>
            <w:noWrap/>
            <w:vAlign w:val="center"/>
          </w:tcPr>
          <w:p w14:paraId="05A105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666" w:type="dxa"/>
            <w:tcBorders>
              <w:top w:val="nil"/>
              <w:left w:val="nil"/>
              <w:bottom w:val="nil"/>
              <w:right w:val="nil"/>
            </w:tcBorders>
            <w:shd w:val="clear" w:color="auto" w:fill="auto"/>
            <w:noWrap/>
            <w:vAlign w:val="center"/>
          </w:tcPr>
          <w:p w14:paraId="3636AB8B">
            <w:pPr>
              <w:jc w:val="center"/>
              <w:rPr>
                <w:rFonts w:hint="eastAsia" w:ascii="宋体" w:hAnsi="宋体" w:eastAsia="宋体" w:cs="宋体"/>
                <w:i w:val="0"/>
                <w:iCs w:val="0"/>
                <w:color w:val="000000"/>
                <w:sz w:val="18"/>
                <w:szCs w:val="18"/>
                <w:u w:val="none"/>
              </w:rPr>
            </w:pPr>
          </w:p>
        </w:tc>
        <w:tc>
          <w:tcPr>
            <w:tcW w:w="747" w:type="dxa"/>
            <w:tcBorders>
              <w:top w:val="nil"/>
              <w:left w:val="nil"/>
              <w:bottom w:val="nil"/>
              <w:right w:val="nil"/>
            </w:tcBorders>
            <w:shd w:val="clear" w:color="auto" w:fill="auto"/>
            <w:noWrap/>
            <w:vAlign w:val="center"/>
          </w:tcPr>
          <w:p w14:paraId="17CF97E2">
            <w:pPr>
              <w:jc w:val="center"/>
              <w:rPr>
                <w:rFonts w:hint="eastAsia" w:ascii="宋体" w:hAnsi="宋体" w:eastAsia="宋体" w:cs="宋体"/>
                <w:i w:val="0"/>
                <w:iCs w:val="0"/>
                <w:color w:val="000000"/>
                <w:sz w:val="18"/>
                <w:szCs w:val="18"/>
                <w:u w:val="none"/>
              </w:rPr>
            </w:pPr>
          </w:p>
        </w:tc>
        <w:tc>
          <w:tcPr>
            <w:tcW w:w="797" w:type="dxa"/>
            <w:tcBorders>
              <w:top w:val="nil"/>
              <w:left w:val="nil"/>
              <w:bottom w:val="nil"/>
              <w:right w:val="nil"/>
            </w:tcBorders>
            <w:shd w:val="clear" w:color="auto" w:fill="auto"/>
            <w:noWrap/>
            <w:vAlign w:val="center"/>
          </w:tcPr>
          <w:p w14:paraId="77C23E49">
            <w:pPr>
              <w:jc w:val="center"/>
              <w:rPr>
                <w:rFonts w:hint="eastAsia" w:ascii="宋体" w:hAnsi="宋体" w:eastAsia="宋体" w:cs="宋体"/>
                <w:i w:val="0"/>
                <w:iCs w:val="0"/>
                <w:color w:val="000000"/>
                <w:sz w:val="18"/>
                <w:szCs w:val="18"/>
                <w:u w:val="none"/>
              </w:rPr>
            </w:pPr>
          </w:p>
        </w:tc>
        <w:tc>
          <w:tcPr>
            <w:tcW w:w="686" w:type="dxa"/>
            <w:tcBorders>
              <w:top w:val="nil"/>
              <w:left w:val="nil"/>
              <w:bottom w:val="nil"/>
              <w:right w:val="nil"/>
            </w:tcBorders>
            <w:shd w:val="clear" w:color="auto" w:fill="auto"/>
            <w:noWrap/>
            <w:vAlign w:val="center"/>
          </w:tcPr>
          <w:p w14:paraId="610E7966">
            <w:pPr>
              <w:jc w:val="center"/>
              <w:rPr>
                <w:rFonts w:hint="eastAsia" w:ascii="宋体" w:hAnsi="宋体" w:eastAsia="宋体" w:cs="宋体"/>
                <w:i w:val="0"/>
                <w:iCs w:val="0"/>
                <w:color w:val="000000"/>
                <w:sz w:val="18"/>
                <w:szCs w:val="18"/>
                <w:u w:val="none"/>
              </w:rPr>
            </w:pPr>
          </w:p>
        </w:tc>
        <w:tc>
          <w:tcPr>
            <w:tcW w:w="747" w:type="dxa"/>
            <w:tcBorders>
              <w:top w:val="nil"/>
              <w:left w:val="nil"/>
              <w:bottom w:val="nil"/>
              <w:right w:val="nil"/>
            </w:tcBorders>
            <w:shd w:val="clear" w:color="auto" w:fill="auto"/>
            <w:noWrap/>
            <w:vAlign w:val="center"/>
          </w:tcPr>
          <w:p w14:paraId="32DFBEE0">
            <w:pPr>
              <w:jc w:val="cente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auto" w:fill="auto"/>
            <w:noWrap/>
            <w:vAlign w:val="center"/>
          </w:tcPr>
          <w:p w14:paraId="5D4471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5BC8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47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86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项目单位</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11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1C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本年拨款</w:t>
            </w:r>
          </w:p>
        </w:tc>
        <w:tc>
          <w:tcPr>
            <w:tcW w:w="223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ECD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财政拨款结转结余</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DCF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管理资金</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CB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r>
      <w:tr w14:paraId="0EA5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A822">
            <w:pPr>
              <w:jc w:val="center"/>
              <w:rPr>
                <w:rFonts w:hint="eastAsia" w:ascii="宋体" w:hAnsi="宋体" w:eastAsia="宋体" w:cs="宋体"/>
                <w:i w:val="0"/>
                <w:iCs w:val="0"/>
                <w:color w:val="000000"/>
                <w:sz w:val="20"/>
                <w:szCs w:val="20"/>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4362">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896B">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B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5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1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经营预算</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E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7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A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经营预算</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2FD4B5">
            <w:pPr>
              <w:jc w:val="center"/>
              <w:rPr>
                <w:rFonts w:hint="eastAsia" w:ascii="宋体" w:hAnsi="宋体" w:eastAsia="宋体" w:cs="宋体"/>
                <w:i w:val="0"/>
                <w:iCs w:val="0"/>
                <w:color w:val="000000"/>
                <w:sz w:val="20"/>
                <w:szCs w:val="20"/>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7925">
            <w:pPr>
              <w:jc w:val="center"/>
              <w:rPr>
                <w:rFonts w:hint="eastAsia" w:ascii="宋体" w:hAnsi="宋体" w:eastAsia="宋体" w:cs="宋体"/>
                <w:i w:val="0"/>
                <w:iCs w:val="0"/>
                <w:color w:val="000000"/>
                <w:sz w:val="20"/>
                <w:szCs w:val="20"/>
                <w:u w:val="none"/>
              </w:rPr>
            </w:pPr>
          </w:p>
        </w:tc>
      </w:tr>
      <w:tr w14:paraId="1F99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D62E">
            <w:pPr>
              <w:rPr>
                <w:rFonts w:hint="eastAsia" w:ascii="宋体" w:hAnsi="宋体" w:eastAsia="宋体" w:cs="宋体"/>
                <w:i w:val="0"/>
                <w:iCs w:val="0"/>
                <w:color w:val="000000"/>
                <w:sz w:val="18"/>
                <w:szCs w:val="18"/>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E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0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E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8A51">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43E5">
            <w:pPr>
              <w:jc w:val="right"/>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6167">
            <w:pPr>
              <w:jc w:val="right"/>
              <w:rPr>
                <w:rFonts w:hint="eastAsia" w:ascii="宋体" w:hAnsi="宋体" w:eastAsia="宋体" w:cs="宋体"/>
                <w:i w:val="0"/>
                <w:iCs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34D7">
            <w:pPr>
              <w:jc w:val="righ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9720">
            <w:pPr>
              <w:jc w:val="right"/>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045C">
            <w:pPr>
              <w:jc w:val="right"/>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AE65">
            <w:pPr>
              <w:jc w:val="right"/>
              <w:rPr>
                <w:rFonts w:hint="eastAsia" w:ascii="宋体" w:hAnsi="宋体" w:eastAsia="宋体" w:cs="宋体"/>
                <w:i w:val="0"/>
                <w:iCs w:val="0"/>
                <w:color w:val="000000"/>
                <w:sz w:val="18"/>
                <w:szCs w:val="18"/>
                <w:u w:val="none"/>
              </w:rPr>
            </w:pPr>
          </w:p>
        </w:tc>
      </w:tr>
      <w:tr w14:paraId="6FD4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5E5A">
            <w:pPr>
              <w:rPr>
                <w:rFonts w:hint="eastAsia" w:ascii="宋体" w:hAnsi="宋体" w:eastAsia="宋体" w:cs="宋体"/>
                <w:i w:val="0"/>
                <w:iCs w:val="0"/>
                <w:color w:val="000000"/>
                <w:sz w:val="18"/>
                <w:szCs w:val="18"/>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D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黄山市人大预算联网监督中心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D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1F01">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D746">
            <w:pPr>
              <w:jc w:val="right"/>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21F5">
            <w:pPr>
              <w:jc w:val="right"/>
              <w:rPr>
                <w:rFonts w:hint="eastAsia" w:ascii="宋体" w:hAnsi="宋体" w:eastAsia="宋体" w:cs="宋体"/>
                <w:i w:val="0"/>
                <w:iCs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EDAA">
            <w:pPr>
              <w:jc w:val="righ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3CBF">
            <w:pPr>
              <w:jc w:val="right"/>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5F63">
            <w:pPr>
              <w:jc w:val="right"/>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2427">
            <w:pPr>
              <w:jc w:val="right"/>
              <w:rPr>
                <w:rFonts w:hint="eastAsia" w:ascii="宋体" w:hAnsi="宋体" w:eastAsia="宋体" w:cs="宋体"/>
                <w:i w:val="0"/>
                <w:iCs w:val="0"/>
                <w:color w:val="000000"/>
                <w:sz w:val="18"/>
                <w:szCs w:val="18"/>
                <w:u w:val="none"/>
              </w:rPr>
            </w:pPr>
          </w:p>
        </w:tc>
      </w:tr>
      <w:tr w14:paraId="6C5A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320" w:type="dxa"/>
            <w:tcBorders>
              <w:top w:val="single" w:color="000000" w:sz="4" w:space="0"/>
              <w:left w:val="single" w:color="000000" w:sz="4" w:space="0"/>
              <w:bottom w:val="nil"/>
              <w:right w:val="single" w:color="000000" w:sz="4" w:space="0"/>
            </w:tcBorders>
            <w:shd w:val="clear" w:color="auto" w:fill="auto"/>
            <w:vAlign w:val="center"/>
          </w:tcPr>
          <w:p w14:paraId="5DFBF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综合工作经费</w:t>
            </w:r>
          </w:p>
        </w:tc>
        <w:tc>
          <w:tcPr>
            <w:tcW w:w="2001" w:type="dxa"/>
            <w:tcBorders>
              <w:top w:val="single" w:color="000000" w:sz="4" w:space="0"/>
              <w:left w:val="single" w:color="000000" w:sz="4" w:space="0"/>
              <w:bottom w:val="nil"/>
              <w:right w:val="single" w:color="000000" w:sz="4" w:space="0"/>
            </w:tcBorders>
            <w:shd w:val="clear" w:color="auto" w:fill="auto"/>
            <w:vAlign w:val="center"/>
          </w:tcPr>
          <w:p w14:paraId="5ACBB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黄山市人大预算联网监督中心</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0B431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706" w:type="dxa"/>
            <w:tcBorders>
              <w:top w:val="single" w:color="000000" w:sz="4" w:space="0"/>
              <w:left w:val="single" w:color="000000" w:sz="4" w:space="0"/>
              <w:bottom w:val="nil"/>
              <w:right w:val="single" w:color="000000" w:sz="4" w:space="0"/>
            </w:tcBorders>
            <w:shd w:val="clear" w:color="auto" w:fill="auto"/>
            <w:vAlign w:val="center"/>
          </w:tcPr>
          <w:p w14:paraId="16461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2B20307D">
            <w:pPr>
              <w:jc w:val="right"/>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E22C8BA">
            <w:pPr>
              <w:jc w:val="right"/>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nil"/>
              <w:right w:val="single" w:color="000000" w:sz="4" w:space="0"/>
            </w:tcBorders>
            <w:shd w:val="clear" w:color="auto" w:fill="auto"/>
            <w:vAlign w:val="center"/>
          </w:tcPr>
          <w:p w14:paraId="0348D094">
            <w:pPr>
              <w:jc w:val="right"/>
              <w:rPr>
                <w:rFonts w:hint="eastAsia" w:ascii="宋体" w:hAnsi="宋体" w:eastAsia="宋体" w:cs="宋体"/>
                <w:i w:val="0"/>
                <w:iCs w:val="0"/>
                <w:color w:val="000000"/>
                <w:sz w:val="18"/>
                <w:szCs w:val="18"/>
                <w:u w:val="none"/>
              </w:rPr>
            </w:pPr>
          </w:p>
        </w:tc>
        <w:tc>
          <w:tcPr>
            <w:tcW w:w="797" w:type="dxa"/>
            <w:tcBorders>
              <w:top w:val="single" w:color="000000" w:sz="4" w:space="0"/>
              <w:left w:val="single" w:color="000000" w:sz="4" w:space="0"/>
              <w:bottom w:val="nil"/>
              <w:right w:val="single" w:color="000000" w:sz="4" w:space="0"/>
            </w:tcBorders>
            <w:shd w:val="clear" w:color="auto" w:fill="auto"/>
            <w:vAlign w:val="center"/>
          </w:tcPr>
          <w:p w14:paraId="11DF96B1">
            <w:pPr>
              <w:jc w:val="righ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nil"/>
              <w:right w:val="single" w:color="000000" w:sz="4" w:space="0"/>
            </w:tcBorders>
            <w:shd w:val="clear" w:color="auto" w:fill="auto"/>
            <w:vAlign w:val="center"/>
          </w:tcPr>
          <w:p w14:paraId="114EDEFA">
            <w:pPr>
              <w:jc w:val="right"/>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nil"/>
              <w:right w:val="single" w:color="000000" w:sz="4" w:space="0"/>
            </w:tcBorders>
            <w:shd w:val="clear" w:color="auto" w:fill="auto"/>
            <w:vAlign w:val="center"/>
          </w:tcPr>
          <w:p w14:paraId="789E45E7">
            <w:pPr>
              <w:jc w:val="right"/>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nil"/>
              <w:right w:val="single" w:color="000000" w:sz="4" w:space="0"/>
            </w:tcBorders>
            <w:shd w:val="clear" w:color="auto" w:fill="auto"/>
            <w:vAlign w:val="center"/>
          </w:tcPr>
          <w:p w14:paraId="122C2758">
            <w:pPr>
              <w:jc w:val="right"/>
              <w:rPr>
                <w:rFonts w:hint="eastAsia" w:ascii="宋体" w:hAnsi="宋体" w:eastAsia="宋体" w:cs="宋体"/>
                <w:i w:val="0"/>
                <w:iCs w:val="0"/>
                <w:color w:val="000000"/>
                <w:sz w:val="18"/>
                <w:szCs w:val="18"/>
                <w:u w:val="none"/>
              </w:rPr>
            </w:pPr>
          </w:p>
        </w:tc>
      </w:tr>
      <w:tr w14:paraId="6E10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C5C4B">
            <w:pPr>
              <w:rPr>
                <w:rFonts w:hint="eastAsia" w:ascii="Calibri" w:hAnsi="Calibri" w:cs="Calibri"/>
                <w:i w:val="0"/>
                <w:iCs w:val="0"/>
                <w:color w:val="000000"/>
                <w:sz w:val="22"/>
                <w:szCs w:val="22"/>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A6B43">
            <w:pPr>
              <w:rPr>
                <w:rFonts w:hint="default" w:ascii="Calibri" w:hAnsi="Calibri" w:cs="Calibri"/>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B1A10">
            <w:pPr>
              <w:jc w:val="center"/>
              <w:rPr>
                <w:rFonts w:hint="default" w:ascii="Calibri" w:hAnsi="Calibri" w:cs="Calibri"/>
                <w:i w:val="0"/>
                <w:iCs w:val="0"/>
                <w:color w:val="000000"/>
                <w:sz w:val="22"/>
                <w:szCs w:val="22"/>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5F053">
            <w:pPr>
              <w:jc w:val="center"/>
              <w:rPr>
                <w:rFonts w:hint="default" w:ascii="Calibri" w:hAnsi="Calibri" w:cs="Calibri"/>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EE82F">
            <w:pPr>
              <w:rPr>
                <w:rFonts w:hint="default" w:ascii="Calibri" w:hAnsi="Calibri" w:cs="Calibri"/>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77D92">
            <w:pPr>
              <w:rPr>
                <w:rFonts w:hint="default" w:ascii="Calibri" w:hAnsi="Calibri" w:cs="Calibri"/>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66C88">
            <w:pPr>
              <w:rPr>
                <w:rFonts w:hint="default" w:ascii="Calibri" w:hAnsi="Calibri" w:cs="Calibri"/>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2FA02">
            <w:pPr>
              <w:rPr>
                <w:rFonts w:hint="default" w:ascii="Calibri" w:hAnsi="Calibri" w:cs="Calibri"/>
                <w:i w:val="0"/>
                <w:iCs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98687">
            <w:pPr>
              <w:rPr>
                <w:rFonts w:hint="default" w:ascii="Calibri" w:hAnsi="Calibri" w:cs="Calibri"/>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BFB48">
            <w:pPr>
              <w:rPr>
                <w:rFonts w:hint="default" w:ascii="Calibri" w:hAnsi="Calibri" w:cs="Calibri"/>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A1109">
            <w:pPr>
              <w:rPr>
                <w:rFonts w:hint="default" w:ascii="Calibri" w:hAnsi="Calibri" w:cs="Calibri"/>
                <w:i w:val="0"/>
                <w:iCs w:val="0"/>
                <w:color w:val="000000"/>
                <w:sz w:val="22"/>
                <w:szCs w:val="22"/>
                <w:u w:val="none"/>
              </w:rPr>
            </w:pPr>
          </w:p>
        </w:tc>
      </w:tr>
      <w:tr w14:paraId="0C5B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185" w:type="dxa"/>
            <w:gridSpan w:val="11"/>
            <w:tcBorders>
              <w:top w:val="nil"/>
              <w:left w:val="nil"/>
              <w:bottom w:val="nil"/>
              <w:right w:val="nil"/>
            </w:tcBorders>
            <w:shd w:val="clear" w:color="auto" w:fill="auto"/>
            <w:noWrap/>
            <w:vAlign w:val="center"/>
          </w:tcPr>
          <w:p w14:paraId="4E871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注：本表反映单位项目支出情况。</w:t>
            </w:r>
          </w:p>
        </w:tc>
      </w:tr>
    </w:tbl>
    <w:p w14:paraId="7687E29A">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end"/>
      </w:r>
    </w:p>
    <w:p w14:paraId="547D1DF9">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p>
    <w:p w14:paraId="535CC3EF">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63838AB3">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begin"/>
      </w:r>
      <w:r>
        <w:instrText xml:space="preserve"> LINK Excel.Sheet.8 "C:\\Users\\apple\\Desktop\\2024年预算公开\\预算中心\\黄山市2024年部门预算公开表（包含结转）_(003002)黄山市人大预算联网监督中心.xls" "表十一、政府采购预算支出表!R1C1:R8C8" \h \a </w:instrText>
      </w:r>
      <w:r>
        <w:rPr>
          <w:rFonts w:hint="eastAsia" w:ascii="TimesNewRoman" w:hAnsi="TimesNewRoman" w:eastAsia="黑体" w:cs="TimesNewRoman"/>
          <w:bCs/>
          <w:sz w:val="36"/>
          <w:szCs w:val="36"/>
          <w:lang w:eastAsia="zh-CN"/>
        </w:rPr>
        <w:fldChar w:fldCharType="separate"/>
      </w:r>
    </w:p>
    <w:tbl>
      <w:tblPr>
        <w:tblStyle w:val="8"/>
        <w:tblW w:w="10005" w:type="dxa"/>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5"/>
        <w:gridCol w:w="1455"/>
        <w:gridCol w:w="1095"/>
        <w:gridCol w:w="1215"/>
        <w:gridCol w:w="1216"/>
        <w:gridCol w:w="1015"/>
        <w:gridCol w:w="1162"/>
        <w:gridCol w:w="1422"/>
      </w:tblGrid>
      <w:tr w14:paraId="2E86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425" w:type="dxa"/>
            <w:tcBorders>
              <w:top w:val="nil"/>
              <w:left w:val="nil"/>
              <w:bottom w:val="nil"/>
              <w:right w:val="nil"/>
            </w:tcBorders>
            <w:shd w:val="clear" w:color="auto" w:fill="auto"/>
            <w:noWrap/>
            <w:vAlign w:val="bottom"/>
          </w:tcPr>
          <w:p w14:paraId="1C4CDD3E">
            <w:pPr>
              <w:rPr>
                <w:rFonts w:hint="eastAsia" w:ascii="Arial" w:hAnsi="Arial" w:cs="Arial"/>
                <w:i w:val="0"/>
                <w:iCs w:val="0"/>
                <w:color w:val="000000"/>
                <w:sz w:val="20"/>
                <w:szCs w:val="20"/>
                <w:u w:val="none"/>
              </w:rPr>
            </w:pPr>
          </w:p>
        </w:tc>
        <w:tc>
          <w:tcPr>
            <w:tcW w:w="1455" w:type="dxa"/>
            <w:tcBorders>
              <w:top w:val="nil"/>
              <w:left w:val="nil"/>
              <w:bottom w:val="nil"/>
              <w:right w:val="nil"/>
            </w:tcBorders>
            <w:shd w:val="clear" w:color="auto" w:fill="auto"/>
            <w:noWrap/>
            <w:vAlign w:val="center"/>
          </w:tcPr>
          <w:p w14:paraId="110A85A6">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noWrap/>
            <w:vAlign w:val="center"/>
          </w:tcPr>
          <w:p w14:paraId="5C5D5BAC">
            <w:pPr>
              <w:rPr>
                <w:rFonts w:hint="eastAsia" w:ascii="宋体" w:hAnsi="宋体" w:eastAsia="宋体" w:cs="宋体"/>
                <w:i w:val="0"/>
                <w:iCs w:val="0"/>
                <w:color w:val="000000"/>
                <w:sz w:val="18"/>
                <w:szCs w:val="18"/>
                <w:u w:val="none"/>
              </w:rPr>
            </w:pPr>
          </w:p>
        </w:tc>
        <w:tc>
          <w:tcPr>
            <w:tcW w:w="1215" w:type="dxa"/>
            <w:tcBorders>
              <w:top w:val="nil"/>
              <w:left w:val="nil"/>
              <w:bottom w:val="nil"/>
              <w:right w:val="nil"/>
            </w:tcBorders>
            <w:shd w:val="clear" w:color="auto" w:fill="auto"/>
            <w:noWrap/>
            <w:vAlign w:val="center"/>
          </w:tcPr>
          <w:p w14:paraId="520DAB9D">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noWrap/>
            <w:vAlign w:val="center"/>
          </w:tcPr>
          <w:p w14:paraId="51B2346B">
            <w:pPr>
              <w:rPr>
                <w:rFonts w:hint="eastAsia" w:ascii="宋体" w:hAnsi="宋体" w:eastAsia="宋体" w:cs="宋体"/>
                <w:i w:val="0"/>
                <w:iCs w:val="0"/>
                <w:color w:val="000000"/>
                <w:sz w:val="18"/>
                <w:szCs w:val="18"/>
                <w:u w:val="none"/>
              </w:rPr>
            </w:pPr>
          </w:p>
        </w:tc>
        <w:tc>
          <w:tcPr>
            <w:tcW w:w="1015" w:type="dxa"/>
            <w:tcBorders>
              <w:top w:val="nil"/>
              <w:left w:val="nil"/>
              <w:bottom w:val="nil"/>
              <w:right w:val="nil"/>
            </w:tcBorders>
            <w:shd w:val="clear" w:color="auto" w:fill="auto"/>
            <w:noWrap/>
            <w:vAlign w:val="center"/>
          </w:tcPr>
          <w:p w14:paraId="3D92B7F2">
            <w:pPr>
              <w:rPr>
                <w:rFonts w:hint="eastAsia" w:ascii="宋体" w:hAnsi="宋体" w:eastAsia="宋体" w:cs="宋体"/>
                <w:i w:val="0"/>
                <w:iCs w:val="0"/>
                <w:color w:val="000000"/>
                <w:sz w:val="18"/>
                <w:szCs w:val="18"/>
                <w:u w:val="none"/>
              </w:rPr>
            </w:pPr>
          </w:p>
        </w:tc>
        <w:tc>
          <w:tcPr>
            <w:tcW w:w="1162" w:type="dxa"/>
            <w:tcBorders>
              <w:top w:val="nil"/>
              <w:left w:val="nil"/>
              <w:bottom w:val="nil"/>
              <w:right w:val="nil"/>
            </w:tcBorders>
            <w:shd w:val="clear" w:color="auto" w:fill="auto"/>
            <w:noWrap/>
            <w:vAlign w:val="center"/>
          </w:tcPr>
          <w:p w14:paraId="43DD4961">
            <w:pPr>
              <w:rPr>
                <w:rFonts w:hint="eastAsia" w:ascii="宋体" w:hAnsi="宋体" w:eastAsia="宋体" w:cs="宋体"/>
                <w:i w:val="0"/>
                <w:iCs w:val="0"/>
                <w:color w:val="000000"/>
                <w:sz w:val="18"/>
                <w:szCs w:val="18"/>
                <w:u w:val="none"/>
              </w:rPr>
            </w:pPr>
          </w:p>
        </w:tc>
        <w:tc>
          <w:tcPr>
            <w:tcW w:w="1422" w:type="dxa"/>
            <w:tcBorders>
              <w:top w:val="nil"/>
              <w:left w:val="nil"/>
              <w:bottom w:val="nil"/>
              <w:right w:val="nil"/>
            </w:tcBorders>
            <w:shd w:val="clear" w:color="auto" w:fill="auto"/>
            <w:noWrap/>
            <w:vAlign w:val="center"/>
          </w:tcPr>
          <w:p w14:paraId="75FC2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单位公开表11</w:t>
            </w:r>
          </w:p>
        </w:tc>
      </w:tr>
      <w:tr w14:paraId="3404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0005" w:type="dxa"/>
            <w:gridSpan w:val="8"/>
            <w:tcBorders>
              <w:top w:val="nil"/>
              <w:left w:val="nil"/>
              <w:bottom w:val="nil"/>
              <w:right w:val="nil"/>
            </w:tcBorders>
            <w:shd w:val="clear" w:color="auto" w:fill="auto"/>
            <w:noWrap/>
            <w:vAlign w:val="center"/>
          </w:tcPr>
          <w:p w14:paraId="32A24F7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表十一、2024年政府采购支出表</w:t>
            </w:r>
          </w:p>
        </w:tc>
      </w:tr>
      <w:tr w14:paraId="718B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3975" w:type="dxa"/>
            <w:gridSpan w:val="3"/>
            <w:tcBorders>
              <w:top w:val="nil"/>
              <w:left w:val="nil"/>
              <w:bottom w:val="nil"/>
              <w:right w:val="nil"/>
            </w:tcBorders>
            <w:shd w:val="clear" w:color="auto" w:fill="auto"/>
            <w:noWrap/>
            <w:vAlign w:val="center"/>
          </w:tcPr>
          <w:p w14:paraId="4B2BB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1215" w:type="dxa"/>
            <w:tcBorders>
              <w:top w:val="nil"/>
              <w:left w:val="nil"/>
              <w:bottom w:val="nil"/>
              <w:right w:val="nil"/>
            </w:tcBorders>
            <w:shd w:val="clear" w:color="auto" w:fill="auto"/>
            <w:noWrap/>
            <w:vAlign w:val="center"/>
          </w:tcPr>
          <w:p w14:paraId="03355F01">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noWrap/>
            <w:vAlign w:val="center"/>
          </w:tcPr>
          <w:p w14:paraId="16E4F0A0">
            <w:pPr>
              <w:rPr>
                <w:rFonts w:hint="eastAsia" w:ascii="宋体" w:hAnsi="宋体" w:eastAsia="宋体" w:cs="宋体"/>
                <w:i w:val="0"/>
                <w:iCs w:val="0"/>
                <w:color w:val="000000"/>
                <w:sz w:val="18"/>
                <w:szCs w:val="18"/>
                <w:u w:val="none"/>
              </w:rPr>
            </w:pPr>
          </w:p>
        </w:tc>
        <w:tc>
          <w:tcPr>
            <w:tcW w:w="1015" w:type="dxa"/>
            <w:tcBorders>
              <w:top w:val="nil"/>
              <w:left w:val="nil"/>
              <w:bottom w:val="nil"/>
              <w:right w:val="nil"/>
            </w:tcBorders>
            <w:shd w:val="clear" w:color="auto" w:fill="auto"/>
            <w:noWrap/>
            <w:vAlign w:val="center"/>
          </w:tcPr>
          <w:p w14:paraId="33F86B4F">
            <w:pPr>
              <w:rPr>
                <w:rFonts w:hint="eastAsia" w:ascii="宋体" w:hAnsi="宋体" w:eastAsia="宋体" w:cs="宋体"/>
                <w:i w:val="0"/>
                <w:iCs w:val="0"/>
                <w:color w:val="000000"/>
                <w:sz w:val="18"/>
                <w:szCs w:val="18"/>
                <w:u w:val="none"/>
              </w:rPr>
            </w:pPr>
          </w:p>
        </w:tc>
        <w:tc>
          <w:tcPr>
            <w:tcW w:w="1162" w:type="dxa"/>
            <w:tcBorders>
              <w:top w:val="nil"/>
              <w:left w:val="nil"/>
              <w:bottom w:val="nil"/>
              <w:right w:val="nil"/>
            </w:tcBorders>
            <w:shd w:val="clear" w:color="auto" w:fill="auto"/>
            <w:noWrap/>
            <w:vAlign w:val="center"/>
          </w:tcPr>
          <w:p w14:paraId="58A1F123">
            <w:pPr>
              <w:rPr>
                <w:rFonts w:hint="eastAsia" w:ascii="宋体" w:hAnsi="宋体" w:eastAsia="宋体" w:cs="宋体"/>
                <w:i w:val="0"/>
                <w:iCs w:val="0"/>
                <w:color w:val="000000"/>
                <w:sz w:val="18"/>
                <w:szCs w:val="18"/>
                <w:u w:val="none"/>
              </w:rPr>
            </w:pPr>
          </w:p>
        </w:tc>
        <w:tc>
          <w:tcPr>
            <w:tcW w:w="1422" w:type="dxa"/>
            <w:tcBorders>
              <w:top w:val="nil"/>
              <w:left w:val="nil"/>
              <w:bottom w:val="nil"/>
              <w:right w:val="nil"/>
            </w:tcBorders>
            <w:shd w:val="clear" w:color="auto" w:fill="auto"/>
            <w:noWrap/>
            <w:vAlign w:val="center"/>
          </w:tcPr>
          <w:p w14:paraId="334ED0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382E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F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5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政府采购品目</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5BF5D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4E4EC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公共预算</w:t>
            </w:r>
          </w:p>
        </w:tc>
        <w:tc>
          <w:tcPr>
            <w:tcW w:w="1216" w:type="dxa"/>
            <w:tcBorders>
              <w:top w:val="single" w:color="000000" w:sz="4" w:space="0"/>
              <w:left w:val="single" w:color="000000" w:sz="4" w:space="0"/>
              <w:bottom w:val="nil"/>
              <w:right w:val="single" w:color="000000" w:sz="4" w:space="0"/>
            </w:tcBorders>
            <w:shd w:val="clear" w:color="auto" w:fill="auto"/>
            <w:vAlign w:val="center"/>
          </w:tcPr>
          <w:p w14:paraId="5CF7F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基金预算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F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经营预算</w:t>
            </w:r>
          </w:p>
        </w:tc>
        <w:tc>
          <w:tcPr>
            <w:tcW w:w="1162" w:type="dxa"/>
            <w:tcBorders>
              <w:top w:val="single" w:color="000000" w:sz="4" w:space="0"/>
              <w:left w:val="single" w:color="000000" w:sz="4" w:space="0"/>
              <w:bottom w:val="nil"/>
              <w:right w:val="single" w:color="000000" w:sz="4" w:space="0"/>
            </w:tcBorders>
            <w:shd w:val="clear" w:color="auto" w:fill="auto"/>
            <w:vAlign w:val="center"/>
          </w:tcPr>
          <w:p w14:paraId="1BD01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管理非税收入</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9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r>
      <w:tr w14:paraId="5568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425" w:type="dxa"/>
            <w:tcBorders>
              <w:top w:val="single" w:color="000000" w:sz="4" w:space="0"/>
              <w:left w:val="single" w:color="000000" w:sz="4" w:space="0"/>
              <w:bottom w:val="nil"/>
              <w:right w:val="single" w:color="000000" w:sz="4" w:space="0"/>
            </w:tcBorders>
            <w:shd w:val="clear" w:color="auto" w:fill="auto"/>
            <w:noWrap/>
            <w:vAlign w:val="bottom"/>
          </w:tcPr>
          <w:p w14:paraId="5A9C638F">
            <w:pPr>
              <w:rPr>
                <w:rFonts w:hint="eastAsia" w:ascii="Calibri" w:hAnsi="Calibri" w:cs="Calibri"/>
                <w:i w:val="0"/>
                <w:iCs w:val="0"/>
                <w:color w:val="000000"/>
                <w:sz w:val="22"/>
                <w:szCs w:val="22"/>
                <w:u w:val="none"/>
              </w:rPr>
            </w:pPr>
          </w:p>
        </w:tc>
        <w:tc>
          <w:tcPr>
            <w:tcW w:w="1455" w:type="dxa"/>
            <w:tcBorders>
              <w:top w:val="single" w:color="000000" w:sz="4" w:space="0"/>
              <w:left w:val="single" w:color="000000" w:sz="4" w:space="0"/>
              <w:bottom w:val="nil"/>
              <w:right w:val="single" w:color="000000" w:sz="4" w:space="0"/>
            </w:tcBorders>
            <w:shd w:val="clear" w:color="auto" w:fill="auto"/>
            <w:noWrap/>
            <w:vAlign w:val="bottom"/>
          </w:tcPr>
          <w:p w14:paraId="3176DC88">
            <w:pPr>
              <w:rPr>
                <w:rFonts w:hint="default" w:ascii="Calibri" w:hAnsi="Calibri" w:cs="Calibri"/>
                <w:i w:val="0"/>
                <w:iCs w:val="0"/>
                <w:color w:val="000000"/>
                <w:sz w:val="22"/>
                <w:szCs w:val="22"/>
                <w:u w:val="none"/>
              </w:rPr>
            </w:pPr>
          </w:p>
        </w:tc>
        <w:tc>
          <w:tcPr>
            <w:tcW w:w="1095" w:type="dxa"/>
            <w:tcBorders>
              <w:top w:val="single" w:color="000000" w:sz="4" w:space="0"/>
              <w:left w:val="single" w:color="000000" w:sz="4" w:space="0"/>
              <w:bottom w:val="nil"/>
              <w:right w:val="single" w:color="000000" w:sz="4" w:space="0"/>
            </w:tcBorders>
            <w:shd w:val="clear" w:color="auto" w:fill="auto"/>
            <w:noWrap/>
            <w:vAlign w:val="bottom"/>
          </w:tcPr>
          <w:p w14:paraId="389FA850">
            <w:pPr>
              <w:rPr>
                <w:rFonts w:hint="default" w:ascii="Calibri" w:hAnsi="Calibri" w:cs="Calibri"/>
                <w:i w:val="0"/>
                <w:iCs w:val="0"/>
                <w:color w:val="000000"/>
                <w:sz w:val="22"/>
                <w:szCs w:val="22"/>
                <w:u w:val="none"/>
              </w:rPr>
            </w:pPr>
          </w:p>
        </w:tc>
        <w:tc>
          <w:tcPr>
            <w:tcW w:w="1215" w:type="dxa"/>
            <w:tcBorders>
              <w:top w:val="single" w:color="000000" w:sz="4" w:space="0"/>
              <w:left w:val="single" w:color="000000" w:sz="4" w:space="0"/>
              <w:bottom w:val="nil"/>
              <w:right w:val="single" w:color="000000" w:sz="4" w:space="0"/>
            </w:tcBorders>
            <w:shd w:val="clear" w:color="auto" w:fill="auto"/>
            <w:noWrap/>
            <w:vAlign w:val="bottom"/>
          </w:tcPr>
          <w:p w14:paraId="4725E87E">
            <w:pPr>
              <w:rPr>
                <w:rFonts w:hint="default" w:ascii="Calibri" w:hAnsi="Calibri" w:cs="Calibri"/>
                <w:i w:val="0"/>
                <w:iCs w:val="0"/>
                <w:color w:val="000000"/>
                <w:sz w:val="22"/>
                <w:szCs w:val="22"/>
                <w:u w:val="none"/>
              </w:rPr>
            </w:pPr>
          </w:p>
        </w:tc>
        <w:tc>
          <w:tcPr>
            <w:tcW w:w="1216" w:type="dxa"/>
            <w:tcBorders>
              <w:top w:val="single" w:color="000000" w:sz="4" w:space="0"/>
              <w:left w:val="single" w:color="000000" w:sz="4" w:space="0"/>
              <w:bottom w:val="nil"/>
              <w:right w:val="single" w:color="000000" w:sz="4" w:space="0"/>
            </w:tcBorders>
            <w:shd w:val="clear" w:color="auto" w:fill="auto"/>
            <w:noWrap/>
            <w:vAlign w:val="bottom"/>
          </w:tcPr>
          <w:p w14:paraId="2C807750">
            <w:pPr>
              <w:rPr>
                <w:rFonts w:hint="default" w:ascii="Calibri" w:hAnsi="Calibri" w:cs="Calibri"/>
                <w:i w:val="0"/>
                <w:iCs w:val="0"/>
                <w:color w:val="000000"/>
                <w:sz w:val="22"/>
                <w:szCs w:val="22"/>
                <w:u w:val="none"/>
              </w:rPr>
            </w:pPr>
          </w:p>
        </w:tc>
        <w:tc>
          <w:tcPr>
            <w:tcW w:w="1015" w:type="dxa"/>
            <w:tcBorders>
              <w:top w:val="single" w:color="000000" w:sz="4" w:space="0"/>
              <w:left w:val="single" w:color="000000" w:sz="4" w:space="0"/>
              <w:bottom w:val="nil"/>
              <w:right w:val="single" w:color="000000" w:sz="4" w:space="0"/>
            </w:tcBorders>
            <w:shd w:val="clear" w:color="auto" w:fill="auto"/>
            <w:noWrap/>
            <w:vAlign w:val="bottom"/>
          </w:tcPr>
          <w:p w14:paraId="6E293959">
            <w:pPr>
              <w:rPr>
                <w:rFonts w:hint="default" w:ascii="Calibri" w:hAnsi="Calibri" w:cs="Calibri"/>
                <w:i w:val="0"/>
                <w:iCs w:val="0"/>
                <w:color w:val="000000"/>
                <w:sz w:val="22"/>
                <w:szCs w:val="22"/>
                <w:u w:val="none"/>
              </w:rPr>
            </w:pPr>
          </w:p>
        </w:tc>
        <w:tc>
          <w:tcPr>
            <w:tcW w:w="1162" w:type="dxa"/>
            <w:tcBorders>
              <w:top w:val="single" w:color="000000" w:sz="4" w:space="0"/>
              <w:left w:val="single" w:color="000000" w:sz="4" w:space="0"/>
              <w:bottom w:val="nil"/>
              <w:right w:val="single" w:color="000000" w:sz="4" w:space="0"/>
            </w:tcBorders>
            <w:shd w:val="clear" w:color="auto" w:fill="auto"/>
            <w:noWrap/>
            <w:vAlign w:val="bottom"/>
          </w:tcPr>
          <w:p w14:paraId="6C4F8B71">
            <w:pPr>
              <w:rPr>
                <w:rFonts w:hint="default" w:ascii="Calibri" w:hAnsi="Calibri" w:cs="Calibri"/>
                <w:i w:val="0"/>
                <w:iCs w:val="0"/>
                <w:color w:val="000000"/>
                <w:sz w:val="22"/>
                <w:szCs w:val="22"/>
                <w:u w:val="none"/>
              </w:rPr>
            </w:pPr>
          </w:p>
        </w:tc>
        <w:tc>
          <w:tcPr>
            <w:tcW w:w="1422" w:type="dxa"/>
            <w:tcBorders>
              <w:top w:val="single" w:color="000000" w:sz="4" w:space="0"/>
              <w:left w:val="single" w:color="000000" w:sz="4" w:space="0"/>
              <w:bottom w:val="nil"/>
              <w:right w:val="single" w:color="000000" w:sz="4" w:space="0"/>
            </w:tcBorders>
            <w:shd w:val="clear" w:color="auto" w:fill="auto"/>
            <w:noWrap/>
            <w:vAlign w:val="bottom"/>
          </w:tcPr>
          <w:p w14:paraId="3B774171">
            <w:pPr>
              <w:rPr>
                <w:rFonts w:hint="default" w:ascii="Calibri" w:hAnsi="Calibri" w:cs="Calibri"/>
                <w:i w:val="0"/>
                <w:iCs w:val="0"/>
                <w:color w:val="000000"/>
                <w:sz w:val="22"/>
                <w:szCs w:val="22"/>
                <w:u w:val="none"/>
              </w:rPr>
            </w:pPr>
          </w:p>
        </w:tc>
      </w:tr>
      <w:tr w14:paraId="0ADA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3251A">
            <w:pPr>
              <w:rPr>
                <w:rFonts w:hint="default" w:ascii="Calibri" w:hAnsi="Calibri" w:cs="Calibri"/>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113C3">
            <w:pPr>
              <w:rPr>
                <w:rFonts w:hint="default" w:ascii="Calibri" w:hAnsi="Calibri" w:cs="Calibri"/>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5A14B">
            <w:pPr>
              <w:rPr>
                <w:rFonts w:hint="default" w:ascii="Calibri" w:hAnsi="Calibri" w:cs="Calibri"/>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C7AEF">
            <w:pPr>
              <w:rPr>
                <w:rFonts w:hint="default" w:ascii="Calibri" w:hAnsi="Calibri" w:cs="Calibri"/>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01450">
            <w:pPr>
              <w:rPr>
                <w:rFonts w:hint="default" w:ascii="Calibri" w:hAnsi="Calibri" w:cs="Calibri"/>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930E1">
            <w:pPr>
              <w:rPr>
                <w:rFonts w:hint="default" w:ascii="Calibri" w:hAnsi="Calibri" w:cs="Calibri"/>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C77BE">
            <w:pPr>
              <w:rPr>
                <w:rFonts w:hint="default" w:ascii="Calibri" w:hAnsi="Calibri" w:cs="Calibri"/>
                <w:i w:val="0"/>
                <w:iCs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26453">
            <w:pPr>
              <w:rPr>
                <w:rFonts w:hint="default" w:ascii="Calibri" w:hAnsi="Calibri" w:cs="Calibri"/>
                <w:i w:val="0"/>
                <w:iCs w:val="0"/>
                <w:color w:val="000000"/>
                <w:sz w:val="22"/>
                <w:szCs w:val="22"/>
                <w:u w:val="none"/>
              </w:rPr>
            </w:pPr>
          </w:p>
        </w:tc>
      </w:tr>
      <w:tr w14:paraId="53B6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05" w:type="dxa"/>
            <w:gridSpan w:val="8"/>
            <w:tcBorders>
              <w:top w:val="nil"/>
              <w:left w:val="nil"/>
              <w:bottom w:val="nil"/>
              <w:right w:val="nil"/>
            </w:tcBorders>
            <w:shd w:val="clear" w:color="auto" w:fill="auto"/>
            <w:noWrap/>
            <w:vAlign w:val="center"/>
          </w:tcPr>
          <w:p w14:paraId="2BE66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注：本表反映单位本年度政府采购预算支出情况。</w:t>
            </w:r>
          </w:p>
        </w:tc>
      </w:tr>
      <w:tr w14:paraId="553A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0005" w:type="dxa"/>
            <w:gridSpan w:val="8"/>
            <w:tcBorders>
              <w:top w:val="nil"/>
              <w:left w:val="nil"/>
              <w:bottom w:val="nil"/>
              <w:right w:val="nil"/>
            </w:tcBorders>
            <w:shd w:val="clear" w:color="auto" w:fill="auto"/>
            <w:vAlign w:val="center"/>
          </w:tcPr>
          <w:p w14:paraId="6233C3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说明：黄山市人大预算联网监督中心2024年没有使用一般公共预算拨款、政府性基金预算拨款、国有资本经营预算拨款、财政专户管理资金和单位资金安排的政府采购支出。</w:t>
            </w:r>
          </w:p>
        </w:tc>
      </w:tr>
    </w:tbl>
    <w:p w14:paraId="31D69838">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end"/>
      </w:r>
    </w:p>
    <w:p w14:paraId="1FEB8235">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1C36BE1C">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3CCB1413">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6CF6B623">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begin"/>
      </w:r>
      <w:r>
        <w:instrText xml:space="preserve"> LINK Excel.Sheet.8 "C:\\Users\\apple\\Desktop\\2024年预算公开\\预算中心\\黄山市2024年部门预算公开表（包含结转）_(003002)黄山市人大预算联网监督中心.xls" "表十二、政府购买服务预算支出表!R1C1:R8C7" \h \a </w:instrText>
      </w:r>
      <w:r>
        <w:rPr>
          <w:rFonts w:hint="eastAsia" w:ascii="TimesNewRoman" w:hAnsi="TimesNewRoman" w:eastAsia="黑体" w:cs="TimesNewRoman"/>
          <w:bCs/>
          <w:sz w:val="36"/>
          <w:szCs w:val="36"/>
          <w:lang w:eastAsia="zh-CN"/>
        </w:rPr>
        <w:fldChar w:fldCharType="separate"/>
      </w:r>
    </w:p>
    <w:tbl>
      <w:tblPr>
        <w:tblStyle w:val="8"/>
        <w:tblW w:w="9750" w:type="dxa"/>
        <w:tblInd w:w="-5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0"/>
        <w:gridCol w:w="1410"/>
        <w:gridCol w:w="1410"/>
        <w:gridCol w:w="1275"/>
        <w:gridCol w:w="1425"/>
        <w:gridCol w:w="1320"/>
        <w:gridCol w:w="1410"/>
      </w:tblGrid>
      <w:tr w14:paraId="21A8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00" w:type="dxa"/>
            <w:tcBorders>
              <w:top w:val="nil"/>
              <w:left w:val="nil"/>
              <w:bottom w:val="nil"/>
              <w:right w:val="nil"/>
            </w:tcBorders>
            <w:shd w:val="clear" w:color="auto" w:fill="auto"/>
            <w:noWrap/>
            <w:vAlign w:val="center"/>
          </w:tcPr>
          <w:p w14:paraId="2C1E34D5">
            <w:pPr>
              <w:rPr>
                <w:rFonts w:hint="eastAsia" w:ascii="宋体" w:hAnsi="宋体" w:eastAsia="宋体" w:cs="宋体"/>
                <w:i w:val="0"/>
                <w:iCs w:val="0"/>
                <w:color w:val="000000"/>
                <w:sz w:val="40"/>
                <w:szCs w:val="40"/>
                <w:u w:val="none"/>
              </w:rPr>
            </w:pPr>
          </w:p>
        </w:tc>
        <w:tc>
          <w:tcPr>
            <w:tcW w:w="1410" w:type="dxa"/>
            <w:tcBorders>
              <w:top w:val="nil"/>
              <w:left w:val="nil"/>
              <w:bottom w:val="nil"/>
              <w:right w:val="nil"/>
            </w:tcBorders>
            <w:shd w:val="clear" w:color="auto" w:fill="auto"/>
            <w:noWrap/>
            <w:vAlign w:val="center"/>
          </w:tcPr>
          <w:p w14:paraId="501C3E67">
            <w:pPr>
              <w:rPr>
                <w:rFonts w:hint="eastAsia" w:ascii="宋体" w:hAnsi="宋体" w:eastAsia="宋体" w:cs="宋体"/>
                <w:i w:val="0"/>
                <w:iCs w:val="0"/>
                <w:color w:val="000000"/>
                <w:sz w:val="40"/>
                <w:szCs w:val="40"/>
                <w:u w:val="none"/>
              </w:rPr>
            </w:pPr>
          </w:p>
        </w:tc>
        <w:tc>
          <w:tcPr>
            <w:tcW w:w="1410" w:type="dxa"/>
            <w:tcBorders>
              <w:top w:val="nil"/>
              <w:left w:val="nil"/>
              <w:bottom w:val="nil"/>
              <w:right w:val="nil"/>
            </w:tcBorders>
            <w:shd w:val="clear" w:color="auto" w:fill="auto"/>
            <w:noWrap/>
            <w:vAlign w:val="center"/>
          </w:tcPr>
          <w:p w14:paraId="60172A79">
            <w:pPr>
              <w:rPr>
                <w:rFonts w:hint="eastAsia" w:ascii="宋体" w:hAnsi="宋体" w:eastAsia="宋体" w:cs="宋体"/>
                <w:i w:val="0"/>
                <w:iCs w:val="0"/>
                <w:color w:val="000000"/>
                <w:sz w:val="40"/>
                <w:szCs w:val="40"/>
                <w:u w:val="none"/>
              </w:rPr>
            </w:pPr>
          </w:p>
        </w:tc>
        <w:tc>
          <w:tcPr>
            <w:tcW w:w="1275" w:type="dxa"/>
            <w:tcBorders>
              <w:top w:val="nil"/>
              <w:left w:val="nil"/>
              <w:bottom w:val="nil"/>
              <w:right w:val="nil"/>
            </w:tcBorders>
            <w:shd w:val="clear" w:color="auto" w:fill="auto"/>
            <w:noWrap/>
            <w:vAlign w:val="center"/>
          </w:tcPr>
          <w:p w14:paraId="7FD4CF3E">
            <w:pPr>
              <w:rPr>
                <w:rFonts w:hint="eastAsia" w:ascii="宋体" w:hAnsi="宋体" w:eastAsia="宋体" w:cs="宋体"/>
                <w:i w:val="0"/>
                <w:iCs w:val="0"/>
                <w:color w:val="000000"/>
                <w:sz w:val="40"/>
                <w:szCs w:val="40"/>
                <w:u w:val="none"/>
              </w:rPr>
            </w:pPr>
          </w:p>
        </w:tc>
        <w:tc>
          <w:tcPr>
            <w:tcW w:w="1425" w:type="dxa"/>
            <w:tcBorders>
              <w:top w:val="nil"/>
              <w:left w:val="nil"/>
              <w:bottom w:val="nil"/>
              <w:right w:val="nil"/>
            </w:tcBorders>
            <w:shd w:val="clear" w:color="auto" w:fill="auto"/>
            <w:noWrap/>
            <w:vAlign w:val="center"/>
          </w:tcPr>
          <w:p w14:paraId="32B6EBD0">
            <w:pPr>
              <w:rPr>
                <w:rFonts w:hint="eastAsia" w:ascii="宋体" w:hAnsi="宋体" w:eastAsia="宋体" w:cs="宋体"/>
                <w:i w:val="0"/>
                <w:iCs w:val="0"/>
                <w:color w:val="000000"/>
                <w:sz w:val="40"/>
                <w:szCs w:val="40"/>
                <w:u w:val="none"/>
              </w:rPr>
            </w:pPr>
          </w:p>
        </w:tc>
        <w:tc>
          <w:tcPr>
            <w:tcW w:w="1320" w:type="dxa"/>
            <w:tcBorders>
              <w:top w:val="nil"/>
              <w:left w:val="nil"/>
              <w:bottom w:val="nil"/>
              <w:right w:val="nil"/>
            </w:tcBorders>
            <w:shd w:val="clear" w:color="auto" w:fill="auto"/>
            <w:noWrap/>
            <w:vAlign w:val="bottom"/>
          </w:tcPr>
          <w:p w14:paraId="5A5A64E5">
            <w:pPr>
              <w:rPr>
                <w:rFonts w:hint="eastAsia" w:ascii="Arial" w:hAnsi="Arial" w:cs="Arial"/>
                <w:i w:val="0"/>
                <w:iCs w:val="0"/>
                <w:color w:val="000000"/>
                <w:sz w:val="20"/>
                <w:szCs w:val="20"/>
                <w:u w:val="none"/>
              </w:rPr>
            </w:pPr>
          </w:p>
        </w:tc>
        <w:tc>
          <w:tcPr>
            <w:tcW w:w="1410" w:type="dxa"/>
            <w:tcBorders>
              <w:top w:val="nil"/>
              <w:left w:val="nil"/>
              <w:bottom w:val="nil"/>
              <w:right w:val="nil"/>
            </w:tcBorders>
            <w:shd w:val="clear" w:color="auto" w:fill="auto"/>
            <w:noWrap/>
            <w:vAlign w:val="center"/>
          </w:tcPr>
          <w:p w14:paraId="38EF2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单位公开表12</w:t>
            </w:r>
          </w:p>
        </w:tc>
      </w:tr>
      <w:tr w14:paraId="6E18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0" w:type="dxa"/>
            <w:gridSpan w:val="6"/>
            <w:tcBorders>
              <w:top w:val="nil"/>
              <w:left w:val="nil"/>
              <w:bottom w:val="nil"/>
              <w:right w:val="nil"/>
            </w:tcBorders>
            <w:shd w:val="clear" w:color="auto" w:fill="auto"/>
            <w:noWrap/>
            <w:vAlign w:val="center"/>
          </w:tcPr>
          <w:p w14:paraId="0187348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表十二、2024年政府购买服务支出表</w:t>
            </w:r>
          </w:p>
        </w:tc>
        <w:tc>
          <w:tcPr>
            <w:tcW w:w="1410" w:type="dxa"/>
            <w:tcBorders>
              <w:top w:val="nil"/>
              <w:left w:val="nil"/>
              <w:bottom w:val="nil"/>
              <w:right w:val="nil"/>
            </w:tcBorders>
            <w:shd w:val="clear" w:color="auto" w:fill="auto"/>
            <w:noWrap/>
            <w:vAlign w:val="bottom"/>
          </w:tcPr>
          <w:p w14:paraId="4A1E4186">
            <w:pPr>
              <w:rPr>
                <w:rFonts w:hint="default" w:ascii="Arial" w:hAnsi="Arial" w:cs="Arial"/>
                <w:i w:val="0"/>
                <w:iCs w:val="0"/>
                <w:color w:val="000000"/>
                <w:sz w:val="32"/>
                <w:szCs w:val="32"/>
                <w:u w:val="none"/>
              </w:rPr>
            </w:pPr>
          </w:p>
        </w:tc>
      </w:tr>
      <w:tr w14:paraId="3B71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20" w:type="dxa"/>
            <w:gridSpan w:val="3"/>
            <w:tcBorders>
              <w:top w:val="nil"/>
              <w:left w:val="nil"/>
              <w:bottom w:val="nil"/>
              <w:right w:val="nil"/>
            </w:tcBorders>
            <w:shd w:val="clear" w:color="auto" w:fill="auto"/>
            <w:noWrap/>
            <w:vAlign w:val="center"/>
          </w:tcPr>
          <w:p w14:paraId="597AE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1275" w:type="dxa"/>
            <w:tcBorders>
              <w:top w:val="nil"/>
              <w:left w:val="nil"/>
              <w:bottom w:val="nil"/>
              <w:right w:val="nil"/>
            </w:tcBorders>
            <w:shd w:val="clear" w:color="auto" w:fill="auto"/>
            <w:noWrap/>
            <w:vAlign w:val="center"/>
          </w:tcPr>
          <w:p w14:paraId="4773677F">
            <w:pPr>
              <w:jc w:val="cente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noWrap/>
            <w:vAlign w:val="center"/>
          </w:tcPr>
          <w:p w14:paraId="51A2498F">
            <w:pPr>
              <w:jc w:val="center"/>
              <w:rPr>
                <w:rFonts w:hint="eastAsia" w:ascii="宋体" w:hAnsi="宋体" w:eastAsia="宋体" w:cs="宋体"/>
                <w:i w:val="0"/>
                <w:iCs w:val="0"/>
                <w:color w:val="000000"/>
                <w:sz w:val="18"/>
                <w:szCs w:val="18"/>
                <w:u w:val="none"/>
              </w:rPr>
            </w:pPr>
          </w:p>
        </w:tc>
        <w:tc>
          <w:tcPr>
            <w:tcW w:w="1320" w:type="dxa"/>
            <w:tcBorders>
              <w:top w:val="nil"/>
              <w:left w:val="nil"/>
              <w:bottom w:val="single" w:color="000000" w:sz="4" w:space="0"/>
              <w:right w:val="nil"/>
            </w:tcBorders>
            <w:shd w:val="clear" w:color="auto" w:fill="auto"/>
            <w:noWrap/>
            <w:vAlign w:val="center"/>
          </w:tcPr>
          <w:p w14:paraId="5295EBF4">
            <w:pPr>
              <w:jc w:val="right"/>
              <w:rPr>
                <w:rFonts w:hint="eastAsia" w:ascii="宋体" w:hAnsi="宋体" w:eastAsia="宋体" w:cs="宋体"/>
                <w:i w:val="0"/>
                <w:iCs w:val="0"/>
                <w:color w:val="000000"/>
                <w:sz w:val="18"/>
                <w:szCs w:val="18"/>
                <w:u w:val="none"/>
              </w:rPr>
            </w:pPr>
          </w:p>
        </w:tc>
        <w:tc>
          <w:tcPr>
            <w:tcW w:w="1410" w:type="dxa"/>
            <w:tcBorders>
              <w:top w:val="nil"/>
              <w:left w:val="nil"/>
              <w:bottom w:val="nil"/>
              <w:right w:val="nil"/>
            </w:tcBorders>
            <w:shd w:val="clear" w:color="auto" w:fill="auto"/>
            <w:noWrap/>
            <w:vAlign w:val="bottom"/>
          </w:tcPr>
          <w:p w14:paraId="207B88D2">
            <w:pPr>
              <w:keepNext w:val="0"/>
              <w:keepLines w:val="0"/>
              <w:widowControl/>
              <w:suppressLineNumbers w:val="0"/>
              <w:jc w:val="right"/>
              <w:textAlignment w:val="bottom"/>
              <w:rPr>
                <w:rFonts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单位：万元</w:t>
            </w:r>
          </w:p>
        </w:tc>
      </w:tr>
      <w:tr w14:paraId="291A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C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6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一级目录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7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二级目录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6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三级目录</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政府购买服务内容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0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购买数量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C1AF">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购买金额</w:t>
            </w:r>
          </w:p>
        </w:tc>
      </w:tr>
      <w:tr w14:paraId="678D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1F3E1">
            <w:pPr>
              <w:rPr>
                <w:rFonts w:hint="default" w:ascii="Calibri" w:hAnsi="Calibri" w:cs="Calibri"/>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03E11">
            <w:pPr>
              <w:rPr>
                <w:rFonts w:hint="default" w:ascii="Calibri" w:hAnsi="Calibri" w:cs="Calibri"/>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88A19">
            <w:pPr>
              <w:rPr>
                <w:rFonts w:hint="default" w:ascii="Calibri" w:hAnsi="Calibri" w:cs="Calibri"/>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738B5">
            <w:pPr>
              <w:rPr>
                <w:rFonts w:hint="default" w:ascii="Calibri" w:hAnsi="Calibri" w:cs="Calibri"/>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3519E">
            <w:pPr>
              <w:rPr>
                <w:rFonts w:hint="default" w:ascii="Calibri" w:hAnsi="Calibri" w:cs="Calibri"/>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716BD">
            <w:pPr>
              <w:rPr>
                <w:rFonts w:hint="default" w:ascii="Calibri" w:hAnsi="Calibri" w:cs="Calibri"/>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80E9C">
            <w:pPr>
              <w:rPr>
                <w:rFonts w:hint="default" w:ascii="Calibri" w:hAnsi="Calibri" w:cs="Calibri"/>
                <w:i w:val="0"/>
                <w:iCs w:val="0"/>
                <w:color w:val="000000"/>
                <w:sz w:val="22"/>
                <w:szCs w:val="22"/>
                <w:u w:val="none"/>
              </w:rPr>
            </w:pPr>
          </w:p>
        </w:tc>
      </w:tr>
      <w:tr w14:paraId="5E20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13B4B">
            <w:pPr>
              <w:rPr>
                <w:rFonts w:hint="default" w:ascii="Calibri" w:hAnsi="Calibri" w:cs="Calibri"/>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5EF1D">
            <w:pPr>
              <w:rPr>
                <w:rFonts w:hint="default" w:ascii="Calibri" w:hAnsi="Calibri" w:cs="Calibri"/>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04CCE">
            <w:pPr>
              <w:rPr>
                <w:rFonts w:hint="default" w:ascii="Calibri" w:hAnsi="Calibri" w:cs="Calibri"/>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263CF">
            <w:pPr>
              <w:rPr>
                <w:rFonts w:hint="default" w:ascii="Calibri" w:hAnsi="Calibri" w:cs="Calibri"/>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C477D">
            <w:pPr>
              <w:rPr>
                <w:rFonts w:hint="default" w:ascii="Calibri" w:hAnsi="Calibri" w:cs="Calibri"/>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F8925">
            <w:pPr>
              <w:rPr>
                <w:rFonts w:hint="default" w:ascii="Calibri" w:hAnsi="Calibri" w:cs="Calibri"/>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77BBF">
            <w:pPr>
              <w:rPr>
                <w:rFonts w:hint="default" w:ascii="Calibri" w:hAnsi="Calibri" w:cs="Calibri"/>
                <w:i w:val="0"/>
                <w:iCs w:val="0"/>
                <w:color w:val="000000"/>
                <w:sz w:val="22"/>
                <w:szCs w:val="22"/>
                <w:u w:val="none"/>
              </w:rPr>
            </w:pPr>
          </w:p>
        </w:tc>
      </w:tr>
      <w:tr w14:paraId="05BA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50" w:type="dxa"/>
            <w:gridSpan w:val="7"/>
            <w:tcBorders>
              <w:top w:val="nil"/>
              <w:left w:val="nil"/>
              <w:bottom w:val="nil"/>
              <w:right w:val="nil"/>
            </w:tcBorders>
            <w:shd w:val="clear" w:color="auto" w:fill="auto"/>
            <w:noWrap/>
            <w:vAlign w:val="center"/>
          </w:tcPr>
          <w:p w14:paraId="6BA10D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注：本表反映单位本年度政府购买服务预算支出情况。</w:t>
            </w:r>
          </w:p>
        </w:tc>
      </w:tr>
      <w:tr w14:paraId="1FCB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9750" w:type="dxa"/>
            <w:gridSpan w:val="7"/>
            <w:tcBorders>
              <w:top w:val="nil"/>
              <w:left w:val="nil"/>
              <w:bottom w:val="nil"/>
              <w:right w:val="nil"/>
            </w:tcBorders>
            <w:shd w:val="clear" w:color="auto" w:fill="auto"/>
            <w:vAlign w:val="center"/>
          </w:tcPr>
          <w:p w14:paraId="19F7E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说明：黄山市人大预算联网监督中心没有使用一般公共预算拨款、政府性基金预算拨款、国有资本经营预算拨款、财政专户管理资金和单位资金安排的政府购买服务支出，故本表无数据。</w:t>
            </w:r>
          </w:p>
        </w:tc>
      </w:tr>
    </w:tbl>
    <w:p w14:paraId="1BB5466B">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end"/>
      </w:r>
    </w:p>
    <w:p w14:paraId="1CDA09B2">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34E8F324">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5BE4F76C">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6F74F318">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6CC57BDE">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lang w:val="en-US" w:eastAsia="zh-CN"/>
        </w:rPr>
      </w:pPr>
      <w:r>
        <w:rPr>
          <w:rFonts w:hint="eastAsia" w:ascii="TimesNewRoman" w:hAnsi="TimesNewRoman" w:eastAsia="黑体" w:cs="TimesNewRoman"/>
          <w:bCs/>
          <w:sz w:val="36"/>
          <w:szCs w:val="36"/>
          <w:lang w:val="en-US" w:eastAsia="zh-CN"/>
        </w:rPr>
        <w:t xml:space="preserve">                                 </w:t>
      </w:r>
    </w:p>
    <w:p w14:paraId="5C2AAC89">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val="en-US" w:eastAsia="zh-CN"/>
        </w:rPr>
      </w:pPr>
      <w:r>
        <w:rPr>
          <w:rFonts w:hint="eastAsia" w:ascii="TimesNewRoman" w:hAnsi="TimesNewRoman" w:eastAsia="黑体" w:cs="TimesNewRoman"/>
          <w:bCs/>
          <w:sz w:val="36"/>
          <w:szCs w:val="36"/>
          <w:lang w:val="en-US" w:eastAsia="zh-CN"/>
        </w:rPr>
        <w:t xml:space="preserve">              </w:t>
      </w:r>
    </w:p>
    <w:p w14:paraId="3D3FAA40">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val="en-US" w:eastAsia="zh-CN"/>
        </w:rPr>
      </w:pPr>
    </w:p>
    <w:p w14:paraId="5C667EDF">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val="en-US" w:eastAsia="zh-CN"/>
        </w:rPr>
      </w:pPr>
    </w:p>
    <w:p w14:paraId="5A124BB3">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val="en-US" w:eastAsia="zh-CN"/>
        </w:rPr>
      </w:pPr>
    </w:p>
    <w:p w14:paraId="27295827">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val="en-US" w:eastAsia="zh-CN"/>
        </w:rPr>
      </w:pPr>
    </w:p>
    <w:p w14:paraId="691CDB8E">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val="en-US" w:eastAsia="zh-CN"/>
        </w:rPr>
      </w:pPr>
    </w:p>
    <w:p w14:paraId="5CA687A0">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val="en-US" w:eastAsia="zh-CN"/>
        </w:rPr>
      </w:pPr>
    </w:p>
    <w:p w14:paraId="018BB2C5">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val="en-US" w:eastAsia="zh-CN"/>
        </w:rPr>
      </w:pPr>
    </w:p>
    <w:p w14:paraId="5891BC21">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val="en-US" w:eastAsia="zh-CN"/>
        </w:rPr>
      </w:pPr>
    </w:p>
    <w:p w14:paraId="4BBF425C">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lang w:val="en-US" w:eastAsia="zh-CN"/>
        </w:rPr>
      </w:pPr>
    </w:p>
    <w:p w14:paraId="37DF818D">
      <w:pPr>
        <w:rPr>
          <w:rFonts w:hint="default" w:ascii="TimesNewRoman" w:hAnsi="TimesNewRoman" w:eastAsia="黑体" w:cs="TimesNewRoman"/>
          <w:bCs/>
          <w:sz w:val="36"/>
          <w:szCs w:val="36"/>
          <w:lang w:val="en-US" w:eastAsia="zh-CN"/>
        </w:rPr>
      </w:pPr>
      <w:r>
        <w:rPr>
          <w:rFonts w:hint="default" w:ascii="TimesNewRoman" w:hAnsi="TimesNewRoman" w:eastAsia="黑体" w:cs="TimesNewRoman"/>
          <w:bCs/>
          <w:sz w:val="36"/>
          <w:szCs w:val="36"/>
          <w:lang w:val="en-US" w:eastAsia="zh-CN"/>
        </w:rPr>
        <w:br w:type="page"/>
      </w:r>
    </w:p>
    <w:p w14:paraId="27459B7D">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lang w:val="en-US" w:eastAsia="zh-CN"/>
        </w:rPr>
        <w:sectPr>
          <w:footerReference r:id="rId8" w:type="default"/>
          <w:pgSz w:w="11906"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437" w:charSpace="2555"/>
        </w:sectPr>
      </w:pPr>
    </w:p>
    <w:p w14:paraId="2994A324">
      <w:pPr>
        <w:pStyle w:val="7"/>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bCs/>
          <w:sz w:val="36"/>
          <w:szCs w:val="36"/>
        </w:rPr>
      </w:pPr>
    </w:p>
    <w:p w14:paraId="3CF6C72B">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pPr>
      <w:r>
        <w:rPr>
          <w:rFonts w:hint="eastAsia" w:ascii="TimesNewRoman" w:hAnsi="TimesNewRoman" w:eastAsia="黑体" w:cs="TimesNewRoman"/>
          <w:bCs/>
          <w:sz w:val="36"/>
          <w:szCs w:val="36"/>
          <w:lang w:eastAsia="zh-CN"/>
        </w:rPr>
        <w:fldChar w:fldCharType="begin"/>
      </w:r>
      <w:r>
        <w:instrText xml:space="preserve"> LINK Excel.Sheet.8 "C:\\Users\\apple\\Desktop\\2024年预算公开\\预算中心\\黄山市2024年部门预算公开表（包含结转）_(003002)黄山市人大预算联网监督中心.xls" "表十三、项目支出绩效目标及项目情况表!R1C1:R9C5" \h \a </w:instrText>
      </w:r>
      <w:r>
        <w:rPr>
          <w:rFonts w:hint="eastAsia" w:ascii="TimesNewRoman" w:hAnsi="TimesNewRoman" w:eastAsia="黑体" w:cs="TimesNewRoman"/>
          <w:bCs/>
          <w:sz w:val="36"/>
          <w:szCs w:val="36"/>
          <w:lang w:eastAsia="zh-CN"/>
        </w:rPr>
        <w:fldChar w:fldCharType="separate"/>
      </w:r>
    </w:p>
    <w:tbl>
      <w:tblPr>
        <w:tblStyle w:val="8"/>
        <w:tblW w:w="14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0"/>
        <w:gridCol w:w="2340"/>
        <w:gridCol w:w="1110"/>
        <w:gridCol w:w="1965"/>
        <w:gridCol w:w="7860"/>
      </w:tblGrid>
      <w:tr w14:paraId="1CB3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0" w:type="dxa"/>
            <w:tcBorders>
              <w:top w:val="nil"/>
              <w:left w:val="nil"/>
              <w:bottom w:val="nil"/>
              <w:right w:val="nil"/>
            </w:tcBorders>
            <w:shd w:val="clear" w:color="auto" w:fill="auto"/>
            <w:noWrap/>
            <w:vAlign w:val="center"/>
          </w:tcPr>
          <w:p w14:paraId="02BCD2F1">
            <w:pPr>
              <w:rPr>
                <w:rFonts w:hint="eastAsia" w:ascii="宋体" w:hAnsi="宋体" w:eastAsia="宋体" w:cs="宋体"/>
                <w:i w:val="0"/>
                <w:iCs w:val="0"/>
                <w:color w:val="000000"/>
                <w:sz w:val="18"/>
                <w:szCs w:val="18"/>
                <w:u w:val="none"/>
              </w:rPr>
            </w:pPr>
          </w:p>
        </w:tc>
        <w:tc>
          <w:tcPr>
            <w:tcW w:w="2340" w:type="dxa"/>
            <w:tcBorders>
              <w:top w:val="nil"/>
              <w:left w:val="nil"/>
              <w:bottom w:val="nil"/>
              <w:right w:val="nil"/>
            </w:tcBorders>
            <w:shd w:val="clear" w:color="auto" w:fill="auto"/>
            <w:noWrap/>
            <w:vAlign w:val="center"/>
          </w:tcPr>
          <w:p w14:paraId="437171C8">
            <w:pPr>
              <w:rPr>
                <w:rFonts w:hint="eastAsia" w:ascii="宋体" w:hAnsi="宋体" w:eastAsia="宋体" w:cs="宋体"/>
                <w:i w:val="0"/>
                <w:iCs w:val="0"/>
                <w:color w:val="000000"/>
                <w:sz w:val="18"/>
                <w:szCs w:val="18"/>
                <w:u w:val="none"/>
              </w:rPr>
            </w:pPr>
          </w:p>
        </w:tc>
        <w:tc>
          <w:tcPr>
            <w:tcW w:w="1110" w:type="dxa"/>
            <w:tcBorders>
              <w:top w:val="nil"/>
              <w:left w:val="nil"/>
              <w:bottom w:val="nil"/>
              <w:right w:val="nil"/>
            </w:tcBorders>
            <w:shd w:val="clear" w:color="auto" w:fill="auto"/>
            <w:vAlign w:val="center"/>
          </w:tcPr>
          <w:p w14:paraId="0C3B8225">
            <w:pPr>
              <w:jc w:val="center"/>
              <w:rPr>
                <w:rFonts w:hint="eastAsia" w:ascii="宋体" w:hAnsi="宋体" w:eastAsia="宋体" w:cs="宋体"/>
                <w:i w:val="0"/>
                <w:iCs w:val="0"/>
                <w:color w:val="000000"/>
                <w:sz w:val="18"/>
                <w:szCs w:val="18"/>
                <w:u w:val="none"/>
              </w:rPr>
            </w:pPr>
          </w:p>
        </w:tc>
        <w:tc>
          <w:tcPr>
            <w:tcW w:w="1965" w:type="dxa"/>
            <w:tcBorders>
              <w:top w:val="nil"/>
              <w:left w:val="nil"/>
              <w:bottom w:val="nil"/>
              <w:right w:val="nil"/>
            </w:tcBorders>
            <w:shd w:val="clear" w:color="auto" w:fill="auto"/>
            <w:noWrap/>
            <w:vAlign w:val="center"/>
          </w:tcPr>
          <w:p w14:paraId="5BD5B3EE">
            <w:pPr>
              <w:rPr>
                <w:rFonts w:hint="eastAsia" w:ascii="宋体" w:hAnsi="宋体" w:eastAsia="宋体" w:cs="宋体"/>
                <w:i w:val="0"/>
                <w:iCs w:val="0"/>
                <w:color w:val="000000"/>
                <w:sz w:val="18"/>
                <w:szCs w:val="18"/>
                <w:u w:val="none"/>
              </w:rPr>
            </w:pPr>
          </w:p>
        </w:tc>
        <w:tc>
          <w:tcPr>
            <w:tcW w:w="7860" w:type="dxa"/>
            <w:tcBorders>
              <w:top w:val="nil"/>
              <w:left w:val="nil"/>
              <w:bottom w:val="nil"/>
              <w:right w:val="nil"/>
            </w:tcBorders>
            <w:shd w:val="clear" w:color="auto" w:fill="auto"/>
            <w:noWrap/>
            <w:vAlign w:val="center"/>
          </w:tcPr>
          <w:p w14:paraId="5ED639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单位公开表13       </w:t>
            </w:r>
          </w:p>
        </w:tc>
      </w:tr>
      <w:tr w14:paraId="00FE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5"/>
            <w:tcBorders>
              <w:top w:val="nil"/>
              <w:left w:val="nil"/>
              <w:bottom w:val="nil"/>
              <w:right w:val="nil"/>
            </w:tcBorders>
            <w:shd w:val="clear" w:color="auto" w:fill="auto"/>
            <w:noWrap/>
            <w:vAlign w:val="center"/>
          </w:tcPr>
          <w:p w14:paraId="558A4CD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表十三、2024年单位预算项目绩效目标表</w:t>
            </w:r>
          </w:p>
        </w:tc>
      </w:tr>
      <w:tr w14:paraId="1CAC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1E205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0" w:type="auto"/>
            <w:gridSpan w:val="3"/>
            <w:tcBorders>
              <w:top w:val="nil"/>
              <w:left w:val="nil"/>
              <w:bottom w:val="nil"/>
              <w:right w:val="nil"/>
            </w:tcBorders>
            <w:shd w:val="clear" w:color="auto" w:fill="auto"/>
            <w:noWrap/>
            <w:vAlign w:val="center"/>
          </w:tcPr>
          <w:p w14:paraId="6B8C25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黄山市人大预算联网监督中心</w:t>
            </w:r>
          </w:p>
        </w:tc>
        <w:tc>
          <w:tcPr>
            <w:tcW w:w="0" w:type="auto"/>
            <w:tcBorders>
              <w:top w:val="nil"/>
              <w:left w:val="nil"/>
              <w:bottom w:val="nil"/>
              <w:right w:val="nil"/>
            </w:tcBorders>
            <w:shd w:val="clear" w:color="auto" w:fill="auto"/>
            <w:noWrap/>
            <w:vAlign w:val="center"/>
          </w:tcPr>
          <w:p w14:paraId="03A9B4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3A0E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92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9C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单位名称(项目类别</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/支出项目)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DA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年度预算安排</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61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E5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绩效目标</w:t>
            </w:r>
          </w:p>
        </w:tc>
      </w:tr>
      <w:tr w14:paraId="56E0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83FC">
            <w:pPr>
              <w:jc w:val="left"/>
              <w:rPr>
                <w:rFonts w:hint="eastAsia" w:ascii="宋体" w:hAnsi="宋体" w:eastAsia="宋体" w:cs="宋体"/>
                <w:b/>
                <w:bCs/>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265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黄山市人民代表大会常务委员会办公室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9C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47500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B2FF">
            <w:pPr>
              <w:jc w:val="left"/>
              <w:rPr>
                <w:rFonts w:hint="eastAsia" w:ascii="宋体" w:hAnsi="宋体" w:eastAsia="宋体" w:cs="宋体"/>
                <w:b/>
                <w:bCs/>
                <w:i w:val="0"/>
                <w:iCs w:val="0"/>
                <w:color w:val="000000"/>
                <w:sz w:val="20"/>
                <w:szCs w:val="20"/>
                <w:u w:val="none"/>
              </w:rPr>
            </w:pP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5EB0">
            <w:pPr>
              <w:jc w:val="left"/>
              <w:rPr>
                <w:rFonts w:hint="eastAsia" w:ascii="宋体" w:hAnsi="宋体" w:eastAsia="宋体" w:cs="宋体"/>
                <w:b/>
                <w:bCs/>
                <w:i w:val="0"/>
                <w:iCs w:val="0"/>
                <w:color w:val="000000"/>
                <w:sz w:val="20"/>
                <w:szCs w:val="20"/>
                <w:u w:val="none"/>
              </w:rPr>
            </w:pPr>
          </w:p>
        </w:tc>
      </w:tr>
      <w:tr w14:paraId="4CB5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3AB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003002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FC0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黄山市人大预算联网监督中心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41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47500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AA50">
            <w:pPr>
              <w:jc w:val="left"/>
              <w:rPr>
                <w:rFonts w:hint="eastAsia" w:ascii="宋体" w:hAnsi="宋体" w:eastAsia="宋体" w:cs="宋体"/>
                <w:b/>
                <w:bCs/>
                <w:i w:val="0"/>
                <w:iCs w:val="0"/>
                <w:color w:val="000000"/>
                <w:sz w:val="20"/>
                <w:szCs w:val="20"/>
                <w:u w:val="none"/>
              </w:rPr>
            </w:pP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7A15">
            <w:pPr>
              <w:jc w:val="left"/>
              <w:rPr>
                <w:rFonts w:hint="eastAsia" w:ascii="宋体" w:hAnsi="宋体" w:eastAsia="宋体" w:cs="宋体"/>
                <w:b/>
                <w:bCs/>
                <w:i w:val="0"/>
                <w:iCs w:val="0"/>
                <w:color w:val="000000"/>
                <w:sz w:val="20"/>
                <w:szCs w:val="20"/>
                <w:u w:val="none"/>
              </w:rPr>
            </w:pPr>
          </w:p>
        </w:tc>
      </w:tr>
      <w:tr w14:paraId="5DB4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084B">
            <w:pPr>
              <w:jc w:val="left"/>
              <w:rPr>
                <w:rFonts w:hint="eastAsia" w:ascii="宋体" w:hAnsi="宋体" w:eastAsia="宋体" w:cs="宋体"/>
                <w:b/>
                <w:bCs/>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F5E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本级项目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CD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47500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A543">
            <w:pPr>
              <w:jc w:val="left"/>
              <w:rPr>
                <w:rFonts w:hint="eastAsia" w:ascii="宋体" w:hAnsi="宋体" w:eastAsia="宋体" w:cs="宋体"/>
                <w:b/>
                <w:bCs/>
                <w:i w:val="0"/>
                <w:iCs w:val="0"/>
                <w:color w:val="000000"/>
                <w:sz w:val="20"/>
                <w:szCs w:val="20"/>
                <w:u w:val="none"/>
              </w:rPr>
            </w:pP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EE81">
            <w:pPr>
              <w:jc w:val="left"/>
              <w:rPr>
                <w:rFonts w:hint="eastAsia" w:ascii="宋体" w:hAnsi="宋体" w:eastAsia="宋体" w:cs="宋体"/>
                <w:b/>
                <w:bCs/>
                <w:i w:val="0"/>
                <w:iCs w:val="0"/>
                <w:color w:val="000000"/>
                <w:sz w:val="20"/>
                <w:szCs w:val="20"/>
                <w:u w:val="none"/>
              </w:rPr>
            </w:pPr>
          </w:p>
          <w:p w14:paraId="58407C1C">
            <w:pPr>
              <w:jc w:val="left"/>
              <w:rPr>
                <w:rFonts w:hint="eastAsia" w:ascii="宋体" w:hAnsi="宋体" w:eastAsia="宋体" w:cs="宋体"/>
                <w:b/>
                <w:bCs/>
                <w:i w:val="0"/>
                <w:iCs w:val="0"/>
                <w:color w:val="000000"/>
                <w:sz w:val="20"/>
                <w:szCs w:val="20"/>
                <w:u w:val="none"/>
              </w:rPr>
            </w:pPr>
          </w:p>
        </w:tc>
      </w:tr>
      <w:tr w14:paraId="73C3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0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003002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A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综合工作经费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5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1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【项目概况】：综合工作经费主要用于弥补日常办公经费支出，保障日常工作正常开展。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【项目立项依据】：根据《关于同意设立市人大预算联网监督中心的批复》黄编办字【2020】84号执行。</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6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【总体目标】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提高市人大预算审查监督的专业化、科学化，进一步增强监督时效，为常委会机关提供优质高效服务和保障。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【产出指标-数量指标】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指标1:在职人数(4人)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【产出指标-质量指标】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指标1:经费支出合规性(严格根据财务有关规定支出)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【产出指标-时效指标】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指标1:经费支出及时性(及时支付)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【产出指标-成本指标】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指标1:项目经费(5万元)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【效益指标-经济效益指标】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指标1:单位职工恪尽职守，团结协作，贡献自己力量，为经济发展奠定基础(效果明显)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【效益指标-社会效益指标】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指标1:单位日常工作得到有效保障，增强单位职工归属感，对社会和谐稳定发展起到推进作用(效果显著)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【效益指标-生态效益指标】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指标1:此指标不适用(此指标不适用)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【效益指标-可持续影响指标】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指标1:弥补单位日常公用经费，保障单位正常开展工作(效果明显)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【满意度指标-服务对象满意度指标】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指标1:职工满意度(≥98%) </w:t>
            </w:r>
          </w:p>
        </w:tc>
      </w:tr>
      <w:tr w14:paraId="22A6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5"/>
            <w:tcBorders>
              <w:top w:val="nil"/>
              <w:left w:val="nil"/>
              <w:bottom w:val="nil"/>
              <w:right w:val="nil"/>
            </w:tcBorders>
            <w:shd w:val="clear" w:color="auto" w:fill="auto"/>
            <w:noWrap/>
            <w:vAlign w:val="center"/>
          </w:tcPr>
          <w:p w14:paraId="3A384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注：本表反映单位本年预算项目绩效目标情况。</w:t>
            </w:r>
          </w:p>
        </w:tc>
      </w:tr>
    </w:tbl>
    <w:p w14:paraId="14C10261">
      <w:pPr>
        <w:pStyle w:val="7"/>
        <w:keepNext w:val="0"/>
        <w:keepLines w:val="0"/>
        <w:pageBreakBefore w:val="0"/>
        <w:kinsoku/>
        <w:overflowPunct/>
        <w:topLinePunct w:val="0"/>
        <w:autoSpaceDE/>
        <w:autoSpaceDN/>
        <w:bidi w:val="0"/>
        <w:adjustRightInd w:val="0"/>
        <w:snapToGrid w:val="0"/>
        <w:spacing w:line="560" w:lineRule="exact"/>
        <w:jc w:val="both"/>
        <w:rPr>
          <w:rFonts w:hint="eastAsia" w:ascii="TimesNewRoman" w:hAnsi="TimesNewRoman" w:eastAsia="黑体" w:cs="TimesNewRoman"/>
          <w:bCs/>
          <w:sz w:val="36"/>
          <w:szCs w:val="36"/>
          <w:lang w:eastAsia="zh-CN"/>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decimal"/>
          <w:cols w:space="720" w:num="1"/>
          <w:rtlGutter w:val="0"/>
          <w:docGrid w:type="linesAndChars" w:linePitch="437" w:charSpace="2555"/>
        </w:sectPr>
      </w:pPr>
      <w:r>
        <w:rPr>
          <w:rFonts w:hint="eastAsia" w:ascii="TimesNewRoman" w:hAnsi="TimesNewRoman" w:eastAsia="黑体" w:cs="TimesNewRoman"/>
          <w:bCs/>
          <w:sz w:val="36"/>
          <w:szCs w:val="36"/>
          <w:lang w:eastAsia="zh-CN"/>
        </w:rPr>
        <w:fldChar w:fldCharType="end"/>
      </w:r>
    </w:p>
    <w:tbl>
      <w:tblPr>
        <w:tblStyle w:val="8"/>
        <w:tblW w:w="10263" w:type="dxa"/>
        <w:tblInd w:w="-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07"/>
        <w:gridCol w:w="1916"/>
        <w:gridCol w:w="1293"/>
        <w:gridCol w:w="1704"/>
        <w:gridCol w:w="1564"/>
        <w:gridCol w:w="1279"/>
      </w:tblGrid>
      <w:tr w14:paraId="3855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250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5A77957">
            <w:pPr>
              <w:rPr>
                <w:rFonts w:hint="eastAsia" w:ascii="宋体" w:hAnsi="宋体" w:eastAsia="宋体" w:cs="宋体"/>
                <w:i w:val="0"/>
                <w:iCs w:val="0"/>
                <w:color w:val="000000"/>
                <w:sz w:val="18"/>
                <w:szCs w:val="18"/>
                <w:u w:val="none"/>
              </w:rPr>
            </w:pPr>
          </w:p>
        </w:tc>
        <w:tc>
          <w:tcPr>
            <w:tcW w:w="19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118604B">
            <w:pPr>
              <w:rPr>
                <w:rFonts w:hint="eastAsia" w:ascii="宋体" w:hAnsi="宋体" w:eastAsia="宋体" w:cs="宋体"/>
                <w:i w:val="0"/>
                <w:iCs w:val="0"/>
                <w:color w:val="000000"/>
                <w:sz w:val="18"/>
                <w:szCs w:val="18"/>
                <w:u w:val="none"/>
              </w:rPr>
            </w:pPr>
          </w:p>
        </w:tc>
        <w:tc>
          <w:tcPr>
            <w:tcW w:w="129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F289FB0">
            <w:pPr>
              <w:rPr>
                <w:rFonts w:hint="eastAsia" w:ascii="宋体" w:hAnsi="宋体" w:eastAsia="宋体" w:cs="宋体"/>
                <w:i w:val="0"/>
                <w:iCs w:val="0"/>
                <w:color w:val="000000"/>
                <w:sz w:val="18"/>
                <w:szCs w:val="18"/>
                <w:u w:val="none"/>
              </w:rPr>
            </w:pPr>
          </w:p>
        </w:tc>
        <w:tc>
          <w:tcPr>
            <w:tcW w:w="17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AA3E078">
            <w:pPr>
              <w:rPr>
                <w:rFonts w:hint="eastAsia" w:ascii="宋体" w:hAnsi="宋体" w:eastAsia="宋体" w:cs="宋体"/>
                <w:i w:val="0"/>
                <w:iCs w:val="0"/>
                <w:color w:val="000000"/>
                <w:sz w:val="18"/>
                <w:szCs w:val="18"/>
                <w:u w:val="none"/>
              </w:rPr>
            </w:pPr>
          </w:p>
        </w:tc>
        <w:tc>
          <w:tcPr>
            <w:tcW w:w="2843"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1D09C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单位公开表14</w:t>
            </w:r>
          </w:p>
        </w:tc>
      </w:tr>
      <w:tr w14:paraId="2EB6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263"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65E77BE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表十四、2024年一般公共预算“三公”经费支出预算表</w:t>
            </w:r>
          </w:p>
        </w:tc>
      </w:tr>
      <w:tr w14:paraId="5DE8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423" w:type="dxa"/>
            <w:gridSpan w:val="2"/>
            <w:tcBorders>
              <w:top w:val="nil"/>
              <w:left w:val="nil"/>
              <w:bottom w:val="nil"/>
              <w:right w:val="nil"/>
            </w:tcBorders>
            <w:shd w:val="clear" w:color="auto" w:fill="auto"/>
            <w:noWrap/>
            <w:vAlign w:val="center"/>
          </w:tcPr>
          <w:p w14:paraId="645B78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[003002]黄山市人大预算联网监督中心 </w:t>
            </w:r>
          </w:p>
        </w:tc>
        <w:tc>
          <w:tcPr>
            <w:tcW w:w="1293" w:type="dxa"/>
            <w:tcBorders>
              <w:top w:val="nil"/>
              <w:left w:val="nil"/>
              <w:bottom w:val="nil"/>
              <w:right w:val="single" w:color="FFFFFF" w:sz="4" w:space="0"/>
            </w:tcBorders>
            <w:shd w:val="clear" w:color="auto" w:fill="auto"/>
            <w:noWrap/>
            <w:vAlign w:val="center"/>
          </w:tcPr>
          <w:p w14:paraId="1D45EB20">
            <w:pPr>
              <w:rPr>
                <w:rFonts w:hint="eastAsia" w:ascii="宋体" w:hAnsi="宋体" w:eastAsia="宋体" w:cs="宋体"/>
                <w:i w:val="0"/>
                <w:iCs w:val="0"/>
                <w:color w:val="000000"/>
                <w:sz w:val="18"/>
                <w:szCs w:val="18"/>
                <w:u w:val="none"/>
              </w:rPr>
            </w:pPr>
          </w:p>
        </w:tc>
        <w:tc>
          <w:tcPr>
            <w:tcW w:w="1704" w:type="dxa"/>
            <w:tcBorders>
              <w:top w:val="nil"/>
              <w:left w:val="single" w:color="FFFFFF" w:sz="4" w:space="0"/>
              <w:bottom w:val="nil"/>
              <w:right w:val="single" w:color="FFFFFF" w:sz="4" w:space="0"/>
            </w:tcBorders>
            <w:shd w:val="clear" w:color="auto" w:fill="auto"/>
            <w:noWrap/>
            <w:vAlign w:val="bottom"/>
          </w:tcPr>
          <w:p w14:paraId="5A8F2116">
            <w:pPr>
              <w:rPr>
                <w:rFonts w:hint="eastAsia" w:ascii="Calibri" w:hAnsi="Calibri" w:cs="Calibri"/>
                <w:i w:val="0"/>
                <w:iCs w:val="0"/>
                <w:color w:val="000000"/>
                <w:sz w:val="22"/>
                <w:szCs w:val="22"/>
                <w:u w:val="none"/>
              </w:rPr>
            </w:pPr>
          </w:p>
        </w:tc>
        <w:tc>
          <w:tcPr>
            <w:tcW w:w="1564" w:type="dxa"/>
            <w:tcBorders>
              <w:top w:val="nil"/>
              <w:left w:val="single" w:color="FFFFFF" w:sz="4" w:space="0"/>
              <w:bottom w:val="nil"/>
              <w:right w:val="nil"/>
            </w:tcBorders>
            <w:shd w:val="clear" w:color="auto" w:fill="auto"/>
            <w:noWrap/>
            <w:vAlign w:val="center"/>
          </w:tcPr>
          <w:p w14:paraId="4B20C15D">
            <w:pPr>
              <w:rPr>
                <w:rFonts w:hint="eastAsia" w:ascii="宋体" w:hAnsi="宋体" w:eastAsia="宋体" w:cs="宋体"/>
                <w:i w:val="0"/>
                <w:iCs w:val="0"/>
                <w:color w:val="000000"/>
                <w:sz w:val="18"/>
                <w:szCs w:val="18"/>
                <w:u w:val="none"/>
              </w:rPr>
            </w:pPr>
          </w:p>
        </w:tc>
        <w:tc>
          <w:tcPr>
            <w:tcW w:w="1279" w:type="dxa"/>
            <w:tcBorders>
              <w:top w:val="nil"/>
              <w:left w:val="nil"/>
              <w:bottom w:val="nil"/>
              <w:right w:val="nil"/>
            </w:tcBorders>
            <w:shd w:val="clear" w:color="auto" w:fill="auto"/>
            <w:noWrap/>
            <w:vAlign w:val="bottom"/>
          </w:tcPr>
          <w:p w14:paraId="1C23291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6574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5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“三公”经费合计</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A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45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D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0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69DA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11C7">
            <w:pPr>
              <w:jc w:val="center"/>
              <w:rPr>
                <w:rFonts w:hint="eastAsia" w:ascii="宋体" w:hAnsi="宋体" w:eastAsia="宋体" w:cs="宋体"/>
                <w:i w:val="0"/>
                <w:iCs w:val="0"/>
                <w:color w:val="000000"/>
                <w:sz w:val="20"/>
                <w:szCs w:val="20"/>
                <w:u w:val="none"/>
              </w:rPr>
            </w:pP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AF64">
            <w:pPr>
              <w:jc w:val="center"/>
              <w:rPr>
                <w:rFonts w:hint="eastAsia" w:ascii="宋体" w:hAnsi="宋体" w:eastAsia="宋体" w:cs="宋体"/>
                <w:i w:val="0"/>
                <w:iCs w:val="0"/>
                <w:color w:val="000000"/>
                <w:sz w:val="20"/>
                <w:szCs w:val="20"/>
                <w:u w:val="none"/>
              </w:rPr>
            </w:pPr>
          </w:p>
        </w:tc>
        <w:tc>
          <w:tcPr>
            <w:tcW w:w="1293" w:type="dxa"/>
            <w:tcBorders>
              <w:top w:val="single" w:color="000000" w:sz="4" w:space="0"/>
              <w:left w:val="single" w:color="000000" w:sz="4" w:space="0"/>
              <w:bottom w:val="nil"/>
              <w:right w:val="single" w:color="000000" w:sz="4" w:space="0"/>
            </w:tcBorders>
            <w:shd w:val="clear" w:color="auto" w:fill="FFFFFF"/>
            <w:noWrap/>
            <w:vAlign w:val="center"/>
          </w:tcPr>
          <w:p w14:paraId="5E765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04" w:type="dxa"/>
            <w:tcBorders>
              <w:top w:val="single" w:color="000000" w:sz="4" w:space="0"/>
              <w:left w:val="single" w:color="000000" w:sz="4" w:space="0"/>
              <w:bottom w:val="nil"/>
              <w:right w:val="single" w:color="000000" w:sz="4" w:space="0"/>
            </w:tcBorders>
            <w:shd w:val="clear" w:color="auto" w:fill="auto"/>
            <w:noWrap/>
            <w:vAlign w:val="center"/>
          </w:tcPr>
          <w:p w14:paraId="0AE49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564" w:type="dxa"/>
            <w:tcBorders>
              <w:top w:val="single" w:color="000000" w:sz="4" w:space="0"/>
              <w:left w:val="single" w:color="000000" w:sz="4" w:space="0"/>
              <w:bottom w:val="nil"/>
              <w:right w:val="single" w:color="000000" w:sz="4" w:space="0"/>
            </w:tcBorders>
            <w:shd w:val="clear" w:color="auto" w:fill="auto"/>
            <w:noWrap/>
            <w:vAlign w:val="center"/>
          </w:tcPr>
          <w:p w14:paraId="371EB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公务用车运行费</w:t>
            </w: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632B">
            <w:pPr>
              <w:jc w:val="center"/>
              <w:rPr>
                <w:rFonts w:hint="eastAsia" w:ascii="宋体" w:hAnsi="宋体" w:eastAsia="宋体" w:cs="宋体"/>
                <w:i w:val="0"/>
                <w:iCs w:val="0"/>
                <w:color w:val="000000"/>
                <w:sz w:val="20"/>
                <w:szCs w:val="20"/>
                <w:u w:val="none"/>
              </w:rPr>
            </w:pPr>
          </w:p>
        </w:tc>
      </w:tr>
      <w:tr w14:paraId="306C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98AF9">
            <w:pPr>
              <w:rPr>
                <w:rFonts w:hint="eastAsia" w:ascii="Arial" w:hAnsi="Arial" w:cs="Arial"/>
                <w:i w:val="0"/>
                <w:iCs w:val="0"/>
                <w:color w:val="000000"/>
                <w:sz w:val="20"/>
                <w:szCs w:val="20"/>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0AC1B">
            <w:pPr>
              <w:rPr>
                <w:rFonts w:hint="default" w:ascii="Arial" w:hAnsi="Arial" w:cs="Arial"/>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55004">
            <w:pP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2ABF3">
            <w:pPr>
              <w:rPr>
                <w:rFonts w:hint="eastAsia" w:ascii="宋体" w:hAnsi="宋体" w:eastAsia="宋体" w:cs="宋体"/>
                <w:i w:val="0"/>
                <w:iCs w:val="0"/>
                <w:color w:val="000000"/>
                <w:sz w:val="18"/>
                <w:szCs w:val="18"/>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0FEB8">
            <w:pPr>
              <w:rPr>
                <w:rFonts w:hint="eastAsia" w:ascii="宋体" w:hAnsi="宋体" w:eastAsia="宋体" w:cs="宋体"/>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8FE76">
            <w:pPr>
              <w:rPr>
                <w:rFonts w:hint="eastAsia" w:ascii="宋体" w:hAnsi="宋体" w:eastAsia="宋体" w:cs="宋体"/>
                <w:i w:val="0"/>
                <w:iCs w:val="0"/>
                <w:color w:val="000000"/>
                <w:sz w:val="18"/>
                <w:szCs w:val="18"/>
                <w:u w:val="none"/>
              </w:rPr>
            </w:pPr>
          </w:p>
        </w:tc>
      </w:tr>
      <w:tr w14:paraId="08A4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DFCE5">
            <w:pPr>
              <w:rPr>
                <w:rFonts w:hint="default" w:ascii="Arial" w:hAnsi="Arial" w:cs="Arial"/>
                <w:i w:val="0"/>
                <w:iCs w:val="0"/>
                <w:color w:val="000000"/>
                <w:sz w:val="20"/>
                <w:szCs w:val="20"/>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7D9B4">
            <w:pPr>
              <w:rPr>
                <w:rFonts w:hint="default" w:ascii="Arial" w:hAnsi="Arial" w:cs="Arial"/>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8F70E">
            <w:pP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13787">
            <w:pPr>
              <w:rPr>
                <w:rFonts w:hint="eastAsia" w:ascii="宋体" w:hAnsi="宋体" w:eastAsia="宋体" w:cs="宋体"/>
                <w:i w:val="0"/>
                <w:iCs w:val="0"/>
                <w:color w:val="000000"/>
                <w:sz w:val="18"/>
                <w:szCs w:val="18"/>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F70FF">
            <w:pPr>
              <w:rPr>
                <w:rFonts w:hint="eastAsia" w:ascii="宋体" w:hAnsi="宋体" w:eastAsia="宋体" w:cs="宋体"/>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BFDAE">
            <w:pPr>
              <w:rPr>
                <w:rFonts w:hint="eastAsia" w:ascii="宋体" w:hAnsi="宋体" w:eastAsia="宋体" w:cs="宋体"/>
                <w:i w:val="0"/>
                <w:iCs w:val="0"/>
                <w:color w:val="000000"/>
                <w:sz w:val="18"/>
                <w:szCs w:val="18"/>
                <w:u w:val="none"/>
              </w:rPr>
            </w:pPr>
          </w:p>
        </w:tc>
      </w:tr>
      <w:tr w14:paraId="06DF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0263" w:type="dxa"/>
            <w:gridSpan w:val="6"/>
            <w:tcBorders>
              <w:top w:val="nil"/>
              <w:left w:val="nil"/>
              <w:bottom w:val="nil"/>
              <w:right w:val="nil"/>
            </w:tcBorders>
            <w:shd w:val="clear" w:color="auto" w:fill="auto"/>
            <w:noWrap/>
            <w:vAlign w:val="center"/>
          </w:tcPr>
          <w:p w14:paraId="39D47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w:t>
            </w:r>
            <w:r>
              <w:rPr>
                <w:rStyle w:val="18"/>
                <w:rFonts w:eastAsia="宋体"/>
                <w:lang w:val="en-US" w:eastAsia="zh-CN" w:bidi="ar"/>
              </w:rPr>
              <w:t>“</w:t>
            </w:r>
            <w:r>
              <w:rPr>
                <w:rStyle w:val="19"/>
                <w:lang w:val="en-US" w:eastAsia="zh-CN" w:bidi="ar"/>
              </w:rPr>
              <w:t>三公</w:t>
            </w:r>
            <w:r>
              <w:rPr>
                <w:rStyle w:val="18"/>
                <w:rFonts w:eastAsia="宋体"/>
                <w:lang w:val="en-US" w:eastAsia="zh-CN" w:bidi="ar"/>
              </w:rPr>
              <w:t>”</w:t>
            </w:r>
            <w:r>
              <w:rPr>
                <w:rStyle w:val="19"/>
                <w:lang w:val="en-US" w:eastAsia="zh-CN" w:bidi="ar"/>
              </w:rPr>
              <w:t>经费预算支出情况。</w:t>
            </w:r>
          </w:p>
        </w:tc>
      </w:tr>
      <w:tr w14:paraId="57B1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10263" w:type="dxa"/>
            <w:gridSpan w:val="6"/>
            <w:tcBorders>
              <w:top w:val="nil"/>
              <w:left w:val="nil"/>
              <w:bottom w:val="nil"/>
              <w:right w:val="nil"/>
            </w:tcBorders>
            <w:shd w:val="clear" w:color="auto" w:fill="auto"/>
            <w:noWrap/>
            <w:vAlign w:val="bottom"/>
          </w:tcPr>
          <w:p w14:paraId="587DFA5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说明：黄山市人大预算联网监督中心没有使用一般公共预算拨款安排的</w:t>
            </w:r>
            <w:r>
              <w:rPr>
                <w:rStyle w:val="18"/>
                <w:rFonts w:eastAsia="宋体"/>
                <w:lang w:val="en-US" w:eastAsia="zh-CN" w:bidi="ar"/>
              </w:rPr>
              <w:t>“</w:t>
            </w:r>
            <w:r>
              <w:rPr>
                <w:rStyle w:val="19"/>
                <w:lang w:val="en-US" w:eastAsia="zh-CN" w:bidi="ar"/>
              </w:rPr>
              <w:t>三公</w:t>
            </w:r>
            <w:r>
              <w:rPr>
                <w:rStyle w:val="18"/>
                <w:rFonts w:eastAsia="宋体"/>
                <w:lang w:val="en-US" w:eastAsia="zh-CN" w:bidi="ar"/>
              </w:rPr>
              <w:t>”</w:t>
            </w:r>
            <w:r>
              <w:rPr>
                <w:rStyle w:val="19"/>
                <w:lang w:val="en-US" w:eastAsia="zh-CN" w:bidi="ar"/>
              </w:rPr>
              <w:t>经费，故本表无数字。</w:t>
            </w:r>
          </w:p>
        </w:tc>
      </w:tr>
    </w:tbl>
    <w:p w14:paraId="20CBCE0A">
      <w:pPr>
        <w:pStyle w:val="7"/>
        <w:widowControl/>
        <w:spacing w:before="0" w:beforeAutospacing="0" w:after="0" w:afterAutospacing="0" w:line="555" w:lineRule="atLeast"/>
        <w:ind w:firstLine="372" w:firstLineChars="100"/>
        <w:jc w:val="center"/>
        <w:rPr>
          <w:rFonts w:hint="default" w:ascii="TimesNewRoman" w:hAnsi="TimesNewRoman" w:eastAsia="黑体" w:cs="TimesNewRoman"/>
          <w:bCs/>
          <w:sz w:val="36"/>
          <w:szCs w:val="36"/>
        </w:rPr>
      </w:pPr>
    </w:p>
    <w:p w14:paraId="3D89AAEC">
      <w:pPr>
        <w:pStyle w:val="7"/>
        <w:widowControl/>
        <w:spacing w:before="0" w:beforeAutospacing="0" w:after="0" w:afterAutospacing="0" w:line="555" w:lineRule="atLeast"/>
        <w:ind w:firstLine="372" w:firstLineChars="100"/>
        <w:jc w:val="center"/>
        <w:rPr>
          <w:rFonts w:hint="default" w:ascii="TimesNewRoman" w:hAnsi="TimesNewRoman" w:eastAsia="黑体" w:cs="TimesNewRoman"/>
          <w:bCs/>
          <w:sz w:val="36"/>
          <w:szCs w:val="36"/>
        </w:rPr>
      </w:pPr>
    </w:p>
    <w:p w14:paraId="443C9467">
      <w:pPr>
        <w:pStyle w:val="7"/>
        <w:widowControl/>
        <w:adjustRightInd w:val="0"/>
        <w:snapToGrid w:val="0"/>
        <w:spacing w:before="0" w:beforeAutospacing="0" w:after="0" w:afterAutospacing="0" w:line="600" w:lineRule="exact"/>
        <w:jc w:val="center"/>
        <w:rPr>
          <w:rFonts w:hint="default" w:ascii="黑体" w:hAnsi="黑体" w:eastAsia="黑体" w:cs="Times New Roman"/>
          <w:bCs/>
          <w:kern w:val="0"/>
          <w:sz w:val="36"/>
          <w:szCs w:val="36"/>
        </w:rPr>
      </w:pPr>
      <w:r>
        <w:rPr>
          <w:rFonts w:hint="default" w:ascii="黑体" w:hAnsi="黑体" w:eastAsia="黑体" w:cs="Times New Roman"/>
          <w:bCs/>
          <w:kern w:val="0"/>
          <w:sz w:val="36"/>
          <w:szCs w:val="36"/>
        </w:rPr>
        <w:t xml:space="preserve">第三部分 </w:t>
      </w:r>
      <w:r>
        <w:rPr>
          <w:rFonts w:hint="default" w:ascii="黑体" w:hAnsi="黑体" w:eastAsia="黑体" w:cs="Times New Roman"/>
          <w:bCs/>
          <w:kern w:val="0"/>
          <w:sz w:val="36"/>
          <w:szCs w:val="36"/>
          <w:lang w:val="en"/>
        </w:rPr>
        <w:t>2024</w:t>
      </w:r>
      <w:r>
        <w:rPr>
          <w:rFonts w:hint="default" w:ascii="黑体" w:hAnsi="黑体" w:eastAsia="黑体" w:cs="Times New Roman"/>
          <w:bCs/>
          <w:kern w:val="0"/>
          <w:sz w:val="36"/>
          <w:szCs w:val="36"/>
        </w:rPr>
        <w:t>年</w:t>
      </w:r>
      <w:r>
        <w:rPr>
          <w:rFonts w:hint="eastAsia" w:ascii="黑体" w:hAnsi="黑体" w:eastAsia="黑体" w:cs="Times New Roman"/>
          <w:bCs/>
          <w:kern w:val="0"/>
          <w:sz w:val="36"/>
          <w:szCs w:val="36"/>
          <w:lang w:val="en-US" w:eastAsia="zh-CN"/>
        </w:rPr>
        <w:t>黄山市人大预算联网监督中心</w:t>
      </w:r>
      <w:r>
        <w:rPr>
          <w:rFonts w:hint="default" w:ascii="黑体" w:hAnsi="黑体" w:eastAsia="黑体" w:cs="Times New Roman"/>
          <w:bCs/>
          <w:kern w:val="0"/>
          <w:sz w:val="36"/>
          <w:szCs w:val="36"/>
        </w:rPr>
        <w:t>预算情况说明</w:t>
      </w:r>
    </w:p>
    <w:p w14:paraId="16501719">
      <w:pPr>
        <w:pStyle w:val="7"/>
        <w:keepNext w:val="0"/>
        <w:keepLines w:val="0"/>
        <w:pageBreakBefore w:val="0"/>
        <w:kinsoku/>
        <w:overflowPunct/>
        <w:topLinePunct w:val="0"/>
        <w:autoSpaceDE/>
        <w:autoSpaceDN/>
        <w:bidi w:val="0"/>
        <w:adjustRightInd w:val="0"/>
        <w:snapToGrid w:val="0"/>
        <w:spacing w:line="560" w:lineRule="exact"/>
        <w:rPr>
          <w:rFonts w:hint="default" w:ascii="TimesNewRoman" w:hAnsi="TimesNewRoman" w:eastAsia="黑体" w:cs="TimesNewRoman"/>
          <w:bCs/>
          <w:sz w:val="32"/>
          <w:szCs w:val="32"/>
        </w:rPr>
      </w:pPr>
    </w:p>
    <w:p w14:paraId="53FB3CDF">
      <w:pPr>
        <w:pStyle w:val="7"/>
        <w:widowControl/>
        <w:adjustRightInd w:val="0"/>
        <w:snapToGrid w:val="0"/>
        <w:spacing w:before="0" w:beforeAutospacing="0" w:after="0" w:afterAutospacing="0" w:line="600" w:lineRule="exact"/>
        <w:ind w:firstLine="664" w:firstLineChars="200"/>
        <w:jc w:val="left"/>
        <w:rPr>
          <w:rFonts w:ascii="黑体" w:hAnsi="黑体" w:eastAsia="黑体" w:cs="Times New Roman"/>
          <w:bCs/>
          <w:kern w:val="0"/>
          <w:sz w:val="32"/>
          <w:szCs w:val="32"/>
        </w:rPr>
      </w:pPr>
      <w:r>
        <w:rPr>
          <w:rFonts w:ascii="黑体" w:hAnsi="黑体" w:eastAsia="黑体" w:cs="Times New Roman"/>
          <w:bCs/>
          <w:kern w:val="0"/>
          <w:sz w:val="32"/>
          <w:szCs w:val="32"/>
        </w:rPr>
        <w:t>一、关于</w:t>
      </w:r>
      <w:r>
        <w:rPr>
          <w:rFonts w:ascii="黑体" w:hAnsi="黑体" w:eastAsia="黑体" w:cs="Times New Roman"/>
          <w:bCs/>
          <w:kern w:val="0"/>
          <w:sz w:val="32"/>
          <w:szCs w:val="32"/>
          <w:lang w:val="en"/>
        </w:rPr>
        <w:t>2024</w:t>
      </w:r>
      <w:r>
        <w:rPr>
          <w:rFonts w:ascii="黑体" w:hAnsi="黑体" w:eastAsia="黑体" w:cs="Times New Roman"/>
          <w:bCs/>
          <w:kern w:val="0"/>
          <w:sz w:val="32"/>
          <w:szCs w:val="32"/>
        </w:rPr>
        <w:t>年收支预算总体情况说明</w:t>
      </w:r>
    </w:p>
    <w:p w14:paraId="42BD60F4">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default"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单位</w:t>
      </w:r>
      <w:r>
        <w:rPr>
          <w:rFonts w:hint="default" w:ascii="TimesNewRoman" w:hAnsi="TimesNewRoman" w:eastAsia="仿宋_GB2312" w:cs="TimesNewRoman"/>
          <w:sz w:val="32"/>
          <w:szCs w:val="32"/>
        </w:rPr>
        <w:t>预算管理。</w:t>
      </w: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年收支总预算59.51万元，收入</w:t>
      </w:r>
      <w:r>
        <w:rPr>
          <w:rFonts w:hint="eastAsia" w:ascii="TimesNewRoman" w:hAnsi="TimesNewRoman" w:eastAsia="仿宋_GB2312" w:cs="TimesNewRoman"/>
          <w:sz w:val="32"/>
          <w:szCs w:val="32"/>
          <w:lang w:val="en-US" w:eastAsia="zh-CN"/>
        </w:rPr>
        <w:t>全部是一般公共预算收入，</w:t>
      </w:r>
      <w:r>
        <w:rPr>
          <w:rFonts w:hint="default" w:ascii="TimesNewRoman" w:hAnsi="TimesNewRoman" w:eastAsia="仿宋_GB2312" w:cs="TimesNewRoman"/>
          <w:sz w:val="32"/>
          <w:szCs w:val="32"/>
        </w:rPr>
        <w:t>支出包括：</w:t>
      </w:r>
      <w:r>
        <w:rPr>
          <w:rFonts w:hint="eastAsia" w:ascii="TimesNewRoman" w:hAnsi="TimesNewRoman" w:eastAsia="仿宋_GB2312" w:cs="TimesNewRoman"/>
          <w:sz w:val="32"/>
          <w:szCs w:val="32"/>
          <w:lang w:val="en-US" w:eastAsia="zh-CN"/>
        </w:rPr>
        <w:t>一般公共服务支出</w:t>
      </w:r>
      <w:r>
        <w:rPr>
          <w:rFonts w:hint="default" w:ascii="TimesNewRoman" w:hAnsi="TimesNewRoman" w:eastAsia="仿宋_GB2312" w:cs="TimesNewRoman"/>
          <w:sz w:val="32"/>
          <w:szCs w:val="32"/>
        </w:rPr>
        <w:t>、</w:t>
      </w:r>
      <w:r>
        <w:rPr>
          <w:rFonts w:hint="eastAsia" w:ascii="TimesNewRoman" w:hAnsi="TimesNewRoman" w:eastAsia="仿宋_GB2312" w:cs="TimesNewRoman"/>
          <w:sz w:val="32"/>
          <w:szCs w:val="32"/>
          <w:lang w:val="en-US" w:eastAsia="zh-CN"/>
        </w:rPr>
        <w:t>社会保障和就业支出</w:t>
      </w:r>
      <w:r>
        <w:rPr>
          <w:rFonts w:hint="default" w:ascii="TimesNewRoman" w:hAnsi="TimesNewRoman" w:eastAsia="仿宋_GB2312" w:cs="TimesNewRoman"/>
          <w:sz w:val="32"/>
          <w:szCs w:val="32"/>
        </w:rPr>
        <w:t>、</w:t>
      </w:r>
      <w:r>
        <w:rPr>
          <w:rFonts w:hint="eastAsia" w:ascii="TimesNewRoman" w:hAnsi="TimesNewRoman" w:eastAsia="仿宋_GB2312" w:cs="TimesNewRoman"/>
          <w:sz w:val="32"/>
          <w:szCs w:val="32"/>
          <w:lang w:val="en-US" w:eastAsia="zh-CN"/>
        </w:rPr>
        <w:t>卫生健康支出</w:t>
      </w:r>
      <w:r>
        <w:rPr>
          <w:rFonts w:hint="default" w:ascii="TimesNewRoman" w:hAnsi="TimesNewRoman" w:eastAsia="仿宋_GB2312" w:cs="TimesNewRoman"/>
          <w:sz w:val="32"/>
          <w:szCs w:val="32"/>
        </w:rPr>
        <w:t>、</w:t>
      </w:r>
      <w:r>
        <w:rPr>
          <w:rFonts w:hint="eastAsia" w:ascii="TimesNewRoman" w:hAnsi="TimesNewRoman" w:eastAsia="仿宋_GB2312" w:cs="TimesNewRoman"/>
          <w:sz w:val="32"/>
          <w:szCs w:val="32"/>
          <w:lang w:val="en-US" w:eastAsia="zh-CN"/>
        </w:rPr>
        <w:t>住房保障支出</w:t>
      </w:r>
      <w:r>
        <w:rPr>
          <w:rFonts w:hint="default" w:ascii="TimesNewRoman" w:hAnsi="TimesNewRoman" w:eastAsia="仿宋_GB2312" w:cs="TimesNewRoman"/>
          <w:sz w:val="32"/>
          <w:szCs w:val="32"/>
        </w:rPr>
        <w:t>。</w:t>
      </w:r>
    </w:p>
    <w:p w14:paraId="4ACE26A2">
      <w:pPr>
        <w:pStyle w:val="7"/>
        <w:widowControl/>
        <w:adjustRightInd w:val="0"/>
        <w:snapToGrid w:val="0"/>
        <w:spacing w:before="0" w:beforeAutospacing="0" w:after="0" w:afterAutospacing="0" w:line="600" w:lineRule="exact"/>
        <w:ind w:firstLine="664" w:firstLineChars="200"/>
        <w:jc w:val="left"/>
        <w:rPr>
          <w:rFonts w:ascii="黑体" w:hAnsi="黑体" w:eastAsia="黑体" w:cs="Times New Roman"/>
          <w:bCs/>
          <w:kern w:val="0"/>
          <w:sz w:val="32"/>
          <w:szCs w:val="32"/>
        </w:rPr>
      </w:pPr>
      <w:r>
        <w:rPr>
          <w:rFonts w:hint="eastAsia" w:ascii="黑体" w:hAnsi="黑体" w:eastAsia="黑体" w:cs="Times New Roman"/>
          <w:bCs/>
          <w:kern w:val="0"/>
          <w:sz w:val="32"/>
          <w:szCs w:val="32"/>
        </w:rPr>
        <w:t>二</w:t>
      </w:r>
      <w:r>
        <w:rPr>
          <w:rFonts w:ascii="黑体" w:hAnsi="黑体" w:eastAsia="黑体" w:cs="Times New Roman"/>
          <w:bCs/>
          <w:kern w:val="0"/>
          <w:sz w:val="32"/>
          <w:szCs w:val="32"/>
        </w:rPr>
        <w:t>、关于</w:t>
      </w:r>
      <w:r>
        <w:rPr>
          <w:rFonts w:ascii="黑体" w:hAnsi="黑体" w:eastAsia="黑体" w:cs="Times New Roman"/>
          <w:bCs/>
          <w:kern w:val="0"/>
          <w:sz w:val="32"/>
          <w:szCs w:val="32"/>
          <w:lang w:val="en"/>
        </w:rPr>
        <w:t>2024</w:t>
      </w:r>
      <w:r>
        <w:rPr>
          <w:rFonts w:ascii="黑体" w:hAnsi="黑体" w:eastAsia="黑体" w:cs="Times New Roman"/>
          <w:bCs/>
          <w:kern w:val="0"/>
          <w:sz w:val="32"/>
          <w:szCs w:val="32"/>
        </w:rPr>
        <w:t>年收入预算情况说明</w:t>
      </w:r>
    </w:p>
    <w:p w14:paraId="2AF06D79">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eastAsia" w:ascii="TimesNewRoman" w:hAnsi="TimesNewRoman" w:eastAsia="仿宋_GB2312" w:cs="TimesNewRoman"/>
          <w:sz w:val="32"/>
          <w:szCs w:val="32"/>
          <w:lang w:val="en-US" w:eastAsia="zh-CN"/>
        </w:rPr>
      </w:pP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eastAsia="zh-CN"/>
        </w:rPr>
        <w:t>2024</w:t>
      </w:r>
      <w:r>
        <w:rPr>
          <w:rFonts w:hint="default" w:ascii="TimesNewRoman" w:hAnsi="TimesNewRoman" w:eastAsia="仿宋_GB2312" w:cs="TimesNewRoman"/>
          <w:sz w:val="32"/>
          <w:szCs w:val="32"/>
          <w:lang w:val="en-US" w:eastAsia="zh-CN"/>
        </w:rPr>
        <w:t>年收入预算59.51万元，</w:t>
      </w:r>
      <w:r>
        <w:rPr>
          <w:rFonts w:hint="eastAsia" w:ascii="TimesNewRoman" w:hAnsi="TimesNewRoman" w:eastAsia="仿宋_GB2312" w:cs="TimesNewRoman"/>
          <w:sz w:val="32"/>
          <w:szCs w:val="32"/>
          <w:lang w:val="en-US" w:eastAsia="zh-CN"/>
        </w:rPr>
        <w:t>其中：一般公共预算拨款收入59.51万元，占100.0%，</w:t>
      </w:r>
      <w:r>
        <w:rPr>
          <w:rFonts w:hint="default" w:ascii="TimesNewRoman" w:hAnsi="TimesNewRoman" w:eastAsia="仿宋_GB2312" w:cs="TimesNewRoman"/>
          <w:sz w:val="32"/>
          <w:szCs w:val="32"/>
          <w:lang w:val="en-US" w:eastAsia="zh-CN"/>
        </w:rPr>
        <w:t>比</w:t>
      </w:r>
      <w:r>
        <w:rPr>
          <w:rFonts w:hint="eastAsia" w:ascii="TimesNewRoman" w:hAnsi="TimesNewRoman" w:eastAsia="仿宋_GB2312" w:cs="TimesNewRoman"/>
          <w:sz w:val="32"/>
          <w:szCs w:val="32"/>
          <w:lang w:val="en-US" w:eastAsia="zh-CN"/>
        </w:rPr>
        <w:t>2023</w:t>
      </w:r>
      <w:r>
        <w:rPr>
          <w:rFonts w:hint="default" w:ascii="TimesNewRoman" w:hAnsi="TimesNewRoman" w:eastAsia="仿宋_GB2312" w:cs="TimesNewRoman"/>
          <w:sz w:val="32"/>
          <w:szCs w:val="32"/>
          <w:lang w:val="en-US" w:eastAsia="zh-CN"/>
        </w:rPr>
        <w:t>年预算增加14.66万元</w:t>
      </w:r>
      <w:r>
        <w:rPr>
          <w:rFonts w:hint="eastAsia" w:ascii="TimesNewRoman" w:hAnsi="TimesNewRoman" w:eastAsia="仿宋_GB2312" w:cs="TimesNewRoman"/>
          <w:sz w:val="32"/>
          <w:szCs w:val="32"/>
          <w:lang w:val="en-US" w:eastAsia="zh-CN"/>
        </w:rPr>
        <w:t>，增长32.69% ，增长原因主要是人员调入1人，基本支出预算随之增加。</w:t>
      </w:r>
    </w:p>
    <w:p w14:paraId="16379323">
      <w:pPr>
        <w:pStyle w:val="7"/>
        <w:widowControl/>
        <w:adjustRightInd w:val="0"/>
        <w:snapToGrid w:val="0"/>
        <w:spacing w:before="0" w:beforeAutospacing="0" w:after="0" w:afterAutospacing="0" w:line="600" w:lineRule="exact"/>
        <w:ind w:firstLine="664" w:firstLineChars="200"/>
        <w:jc w:val="left"/>
        <w:rPr>
          <w:rFonts w:ascii="黑体" w:hAnsi="黑体" w:eastAsia="黑体" w:cs="Times New Roman"/>
          <w:bCs/>
          <w:kern w:val="0"/>
          <w:sz w:val="32"/>
          <w:szCs w:val="32"/>
        </w:rPr>
      </w:pPr>
      <w:r>
        <w:rPr>
          <w:rFonts w:hint="eastAsia" w:ascii="黑体" w:hAnsi="黑体" w:eastAsia="黑体" w:cs="Times New Roman"/>
          <w:bCs/>
          <w:kern w:val="0"/>
          <w:sz w:val="32"/>
          <w:szCs w:val="32"/>
        </w:rPr>
        <w:t>三</w:t>
      </w:r>
      <w:r>
        <w:rPr>
          <w:rFonts w:ascii="黑体" w:hAnsi="黑体" w:eastAsia="黑体" w:cs="Times New Roman"/>
          <w:bCs/>
          <w:kern w:val="0"/>
          <w:sz w:val="32"/>
          <w:szCs w:val="32"/>
        </w:rPr>
        <w:t>、关于</w:t>
      </w:r>
      <w:r>
        <w:rPr>
          <w:rFonts w:ascii="黑体" w:hAnsi="黑体" w:eastAsia="黑体" w:cs="Times New Roman"/>
          <w:bCs/>
          <w:kern w:val="0"/>
          <w:sz w:val="32"/>
          <w:szCs w:val="32"/>
          <w:lang w:val="en"/>
        </w:rPr>
        <w:t>2024</w:t>
      </w:r>
      <w:r>
        <w:rPr>
          <w:rFonts w:ascii="黑体" w:hAnsi="黑体" w:eastAsia="黑体" w:cs="Times New Roman"/>
          <w:bCs/>
          <w:kern w:val="0"/>
          <w:sz w:val="32"/>
          <w:szCs w:val="32"/>
        </w:rPr>
        <w:t>年支出预算情况说明</w:t>
      </w:r>
    </w:p>
    <w:p w14:paraId="3B361812">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lang w:val="en-US" w:eastAsia="zh-CN"/>
        </w:rPr>
      </w:pP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eastAsia="zh-CN"/>
        </w:rPr>
        <w:t>2024</w:t>
      </w:r>
      <w:r>
        <w:rPr>
          <w:rFonts w:hint="default" w:ascii="TimesNewRoman" w:hAnsi="TimesNewRoman" w:eastAsia="仿宋_GB2312" w:cs="TimesNewRoman"/>
          <w:sz w:val="32"/>
          <w:szCs w:val="32"/>
          <w:lang w:val="en-US" w:eastAsia="zh-CN"/>
        </w:rPr>
        <w:t>年支出预算59.51万元，比</w:t>
      </w:r>
      <w:r>
        <w:rPr>
          <w:rFonts w:hint="eastAsia" w:ascii="TimesNewRoman" w:hAnsi="TimesNewRoman" w:eastAsia="仿宋_GB2312" w:cs="TimesNewRoman"/>
          <w:sz w:val="32"/>
          <w:szCs w:val="32"/>
          <w:lang w:val="en-US" w:eastAsia="zh-CN"/>
        </w:rPr>
        <w:t>2023</w:t>
      </w:r>
      <w:r>
        <w:rPr>
          <w:rFonts w:hint="default" w:ascii="TimesNewRoman" w:hAnsi="TimesNewRoman" w:eastAsia="仿宋_GB2312" w:cs="TimesNewRoman"/>
          <w:sz w:val="32"/>
          <w:szCs w:val="32"/>
          <w:lang w:val="en-US" w:eastAsia="zh-CN"/>
        </w:rPr>
        <w:t>年预算增加14.66万元，增长32.</w:t>
      </w:r>
      <w:r>
        <w:rPr>
          <w:rFonts w:hint="eastAsia" w:ascii="TimesNewRoman" w:hAnsi="TimesNewRoman" w:eastAsia="仿宋_GB2312" w:cs="TimesNewRoman"/>
          <w:sz w:val="32"/>
          <w:szCs w:val="32"/>
          <w:lang w:val="en-US" w:eastAsia="zh-CN"/>
        </w:rPr>
        <w:t>69</w:t>
      </w:r>
      <w:r>
        <w:rPr>
          <w:rFonts w:hint="default" w:ascii="TimesNewRoman" w:hAnsi="TimesNewRoman" w:eastAsia="仿宋_GB2312" w:cs="TimesNewRoman"/>
          <w:sz w:val="32"/>
          <w:szCs w:val="32"/>
          <w:lang w:val="en-US" w:eastAsia="zh-CN"/>
        </w:rPr>
        <w:t>%，</w:t>
      </w:r>
      <w:r>
        <w:rPr>
          <w:rFonts w:hint="eastAsia" w:ascii="TimesNewRoman" w:hAnsi="TimesNewRoman" w:eastAsia="仿宋_GB2312" w:cs="TimesNewRoman"/>
          <w:sz w:val="32"/>
          <w:szCs w:val="32"/>
          <w:lang w:val="en-US" w:eastAsia="zh-CN"/>
        </w:rPr>
        <w:t>主要原因是人员调入1人，基本支出预算随之增加。</w:t>
      </w:r>
      <w:r>
        <w:rPr>
          <w:rFonts w:hint="default" w:ascii="TimesNewRoman" w:hAnsi="TimesNewRoman" w:eastAsia="仿宋_GB2312" w:cs="TimesNewRoman"/>
          <w:sz w:val="32"/>
          <w:szCs w:val="32"/>
          <w:lang w:val="en-US" w:eastAsia="zh-CN"/>
        </w:rPr>
        <w:t>其中，</w:t>
      </w:r>
      <w:r>
        <w:rPr>
          <w:rFonts w:hint="eastAsia" w:ascii="TimesNewRoman" w:hAnsi="TimesNewRoman" w:eastAsia="仿宋_GB2312" w:cs="TimesNewRoman"/>
          <w:sz w:val="32"/>
          <w:szCs w:val="32"/>
          <w:lang w:val="en-US" w:eastAsia="zh-CN"/>
        </w:rPr>
        <w:t>基本支出54.76万元，占92.02%，主要用于保障机构日常运转、完成日常工作任务等；项目支出4.75万元，占7.98%，主要用于弥补经费不足。</w:t>
      </w:r>
    </w:p>
    <w:p w14:paraId="35C5C6F2">
      <w:pPr>
        <w:pStyle w:val="7"/>
        <w:widowControl/>
        <w:adjustRightInd w:val="0"/>
        <w:snapToGrid w:val="0"/>
        <w:spacing w:before="0" w:beforeAutospacing="0" w:after="0" w:afterAutospacing="0" w:line="600" w:lineRule="exact"/>
        <w:ind w:firstLine="664" w:firstLineChars="200"/>
        <w:jc w:val="left"/>
        <w:rPr>
          <w:rFonts w:ascii="黑体" w:hAnsi="黑体" w:eastAsia="黑体" w:cs="Times New Roman"/>
          <w:bCs/>
          <w:kern w:val="0"/>
          <w:sz w:val="32"/>
          <w:szCs w:val="32"/>
        </w:rPr>
      </w:pPr>
      <w:r>
        <w:rPr>
          <w:rFonts w:hint="eastAsia" w:ascii="黑体" w:hAnsi="黑体" w:eastAsia="黑体" w:cs="Times New Roman"/>
          <w:bCs/>
          <w:kern w:val="0"/>
          <w:sz w:val="32"/>
          <w:szCs w:val="32"/>
        </w:rPr>
        <w:t>四、</w:t>
      </w:r>
      <w:r>
        <w:rPr>
          <w:rFonts w:ascii="黑体" w:hAnsi="黑体" w:eastAsia="黑体" w:cs="Times New Roman"/>
          <w:bCs/>
          <w:kern w:val="0"/>
          <w:sz w:val="32"/>
          <w:szCs w:val="32"/>
        </w:rPr>
        <w:t>关于</w:t>
      </w:r>
      <w:r>
        <w:rPr>
          <w:rFonts w:ascii="黑体" w:hAnsi="黑体" w:eastAsia="黑体" w:cs="Times New Roman"/>
          <w:bCs/>
          <w:kern w:val="0"/>
          <w:sz w:val="32"/>
          <w:szCs w:val="32"/>
          <w:lang w:val="en"/>
        </w:rPr>
        <w:t>2024</w:t>
      </w:r>
      <w:r>
        <w:rPr>
          <w:rFonts w:ascii="黑体" w:hAnsi="黑体" w:eastAsia="黑体" w:cs="Times New Roman"/>
          <w:bCs/>
          <w:kern w:val="0"/>
          <w:sz w:val="32"/>
          <w:szCs w:val="32"/>
        </w:rPr>
        <w:t>年</w:t>
      </w:r>
      <w:r>
        <w:rPr>
          <w:rFonts w:hint="eastAsia" w:ascii="黑体" w:hAnsi="黑体" w:eastAsia="黑体" w:cs="Times New Roman"/>
          <w:bCs/>
          <w:kern w:val="0"/>
          <w:sz w:val="32"/>
          <w:szCs w:val="32"/>
        </w:rPr>
        <w:t>财政</w:t>
      </w:r>
      <w:r>
        <w:rPr>
          <w:rFonts w:ascii="黑体" w:hAnsi="黑体" w:eastAsia="黑体" w:cs="Times New Roman"/>
          <w:bCs/>
          <w:kern w:val="0"/>
          <w:sz w:val="32"/>
          <w:szCs w:val="32"/>
        </w:rPr>
        <w:t>拨款收支预算总体情况说明</w:t>
      </w:r>
    </w:p>
    <w:p w14:paraId="0C8BFED9">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年财政拨款收支预算59.51万元。收入按资金来源全部是一般公共预算拨款收入59.51万元；按资金年度</w:t>
      </w:r>
      <w:r>
        <w:rPr>
          <w:rFonts w:hint="eastAsia" w:ascii="TimesNewRoman" w:hAnsi="TimesNewRoman" w:eastAsia="仿宋_GB2312" w:cs="TimesNewRoman"/>
          <w:sz w:val="32"/>
          <w:szCs w:val="32"/>
          <w:lang w:val="en-US" w:eastAsia="zh-CN"/>
        </w:rPr>
        <w:t>分全部为当</w:t>
      </w:r>
      <w:r>
        <w:rPr>
          <w:rFonts w:hint="default" w:ascii="TimesNewRoman" w:hAnsi="TimesNewRoman" w:eastAsia="仿宋_GB2312" w:cs="TimesNewRoman"/>
          <w:sz w:val="32"/>
          <w:szCs w:val="32"/>
        </w:rPr>
        <w:t>年财政拨款收入59.51万元。支出按功能分类分为：一般公共服务支出46.32</w:t>
      </w:r>
      <w:r>
        <w:rPr>
          <w:rFonts w:hint="eastAsia" w:ascii="TimesNewRoman" w:hAnsi="TimesNewRoman" w:eastAsia="仿宋_GB2312" w:cs="TimesNewRoman"/>
          <w:sz w:val="32"/>
          <w:szCs w:val="32"/>
          <w:lang w:val="en-US" w:eastAsia="zh-CN"/>
        </w:rPr>
        <w:t>万元</w:t>
      </w:r>
      <w:r>
        <w:rPr>
          <w:rFonts w:hint="default" w:ascii="TimesNewRoman" w:hAnsi="TimesNewRoman" w:eastAsia="仿宋_GB2312" w:cs="TimesNewRoman"/>
          <w:sz w:val="32"/>
          <w:szCs w:val="32"/>
        </w:rPr>
        <w:t>，占77.8</w:t>
      </w:r>
      <w:r>
        <w:rPr>
          <w:rFonts w:hint="eastAsia" w:ascii="TimesNewRoman" w:hAnsi="TimesNewRoman" w:eastAsia="仿宋_GB2312" w:cs="TimesNewRoman"/>
          <w:sz w:val="32"/>
          <w:szCs w:val="32"/>
          <w:lang w:val="en-US" w:eastAsia="zh-CN"/>
        </w:rPr>
        <w:t>4</w:t>
      </w:r>
      <w:r>
        <w:rPr>
          <w:rFonts w:hint="default" w:ascii="TimesNewRoman" w:hAnsi="TimesNewRoman" w:eastAsia="仿宋_GB2312" w:cs="TimesNewRoman"/>
          <w:sz w:val="32"/>
          <w:szCs w:val="32"/>
        </w:rPr>
        <w:t>%；社会保障和就业支出8.17</w:t>
      </w:r>
      <w:r>
        <w:rPr>
          <w:rFonts w:hint="eastAsia" w:ascii="TimesNewRoman" w:hAnsi="TimesNewRoman" w:eastAsia="仿宋_GB2312" w:cs="TimesNewRoman"/>
          <w:sz w:val="32"/>
          <w:szCs w:val="32"/>
          <w:lang w:val="en-US" w:eastAsia="zh-CN"/>
        </w:rPr>
        <w:t>万元</w:t>
      </w:r>
      <w:r>
        <w:rPr>
          <w:rFonts w:hint="default" w:ascii="TimesNewRoman" w:hAnsi="TimesNewRoman" w:eastAsia="仿宋_GB2312" w:cs="TimesNewRoman"/>
          <w:sz w:val="32"/>
          <w:szCs w:val="32"/>
        </w:rPr>
        <w:t>，占13.7</w:t>
      </w:r>
      <w:r>
        <w:rPr>
          <w:rFonts w:hint="eastAsia" w:ascii="TimesNewRoman" w:hAnsi="TimesNewRoman" w:eastAsia="仿宋_GB2312" w:cs="TimesNewRoman"/>
          <w:sz w:val="32"/>
          <w:szCs w:val="32"/>
          <w:lang w:val="en-US" w:eastAsia="zh-CN"/>
        </w:rPr>
        <w:t>3</w:t>
      </w:r>
      <w:r>
        <w:rPr>
          <w:rFonts w:hint="default" w:ascii="TimesNewRoman" w:hAnsi="TimesNewRoman" w:eastAsia="仿宋_GB2312" w:cs="TimesNewRoman"/>
          <w:sz w:val="32"/>
          <w:szCs w:val="32"/>
        </w:rPr>
        <w:t>%；卫生健康支出1.30</w:t>
      </w:r>
      <w:r>
        <w:rPr>
          <w:rFonts w:hint="eastAsia" w:ascii="TimesNewRoman" w:hAnsi="TimesNewRoman" w:eastAsia="仿宋_GB2312" w:cs="TimesNewRoman"/>
          <w:sz w:val="32"/>
          <w:szCs w:val="32"/>
          <w:lang w:val="en-US" w:eastAsia="zh-CN"/>
        </w:rPr>
        <w:t>万元</w:t>
      </w:r>
      <w:r>
        <w:rPr>
          <w:rFonts w:hint="default" w:ascii="TimesNewRoman" w:hAnsi="TimesNewRoman" w:eastAsia="仿宋_GB2312" w:cs="TimesNewRoman"/>
          <w:sz w:val="32"/>
          <w:szCs w:val="32"/>
        </w:rPr>
        <w:t>，占2.</w:t>
      </w:r>
      <w:r>
        <w:rPr>
          <w:rFonts w:hint="eastAsia" w:ascii="TimesNewRoman" w:hAnsi="TimesNewRoman" w:eastAsia="仿宋_GB2312" w:cs="TimesNewRoman"/>
          <w:sz w:val="32"/>
          <w:szCs w:val="32"/>
          <w:lang w:val="en-US" w:eastAsia="zh-CN"/>
        </w:rPr>
        <w:t>18</w:t>
      </w:r>
      <w:r>
        <w:rPr>
          <w:rFonts w:hint="default" w:ascii="TimesNewRoman" w:hAnsi="TimesNewRoman" w:eastAsia="仿宋_GB2312" w:cs="TimesNewRoman"/>
          <w:sz w:val="32"/>
          <w:szCs w:val="32"/>
        </w:rPr>
        <w:t>%；住房保障支出3.72</w:t>
      </w:r>
      <w:r>
        <w:rPr>
          <w:rFonts w:hint="eastAsia" w:ascii="TimesNewRoman" w:hAnsi="TimesNewRoman" w:eastAsia="仿宋_GB2312" w:cs="TimesNewRoman"/>
          <w:sz w:val="32"/>
          <w:szCs w:val="32"/>
          <w:lang w:val="en-US" w:eastAsia="zh-CN"/>
        </w:rPr>
        <w:t>万元</w:t>
      </w:r>
      <w:r>
        <w:rPr>
          <w:rFonts w:hint="default" w:ascii="TimesNewRoman" w:hAnsi="TimesNewRoman" w:eastAsia="仿宋_GB2312" w:cs="TimesNewRoman"/>
          <w:sz w:val="32"/>
          <w:szCs w:val="32"/>
        </w:rPr>
        <w:t>，占6.</w:t>
      </w:r>
      <w:r>
        <w:rPr>
          <w:rFonts w:hint="eastAsia" w:ascii="TimesNewRoman" w:hAnsi="TimesNewRoman" w:eastAsia="仿宋_GB2312" w:cs="TimesNewRoman"/>
          <w:sz w:val="32"/>
          <w:szCs w:val="32"/>
          <w:lang w:val="en-US" w:eastAsia="zh-CN"/>
        </w:rPr>
        <w:t>25</w:t>
      </w:r>
      <w:r>
        <w:rPr>
          <w:rFonts w:hint="default" w:ascii="TimesNewRoman" w:hAnsi="TimesNewRoman" w:eastAsia="仿宋_GB2312" w:cs="TimesNewRoman"/>
          <w:sz w:val="32"/>
          <w:szCs w:val="32"/>
        </w:rPr>
        <w:t>%。</w:t>
      </w:r>
    </w:p>
    <w:p w14:paraId="728DF7E7">
      <w:pPr>
        <w:pStyle w:val="7"/>
        <w:widowControl/>
        <w:adjustRightInd w:val="0"/>
        <w:snapToGrid w:val="0"/>
        <w:spacing w:before="0" w:beforeAutospacing="0" w:after="0" w:afterAutospacing="0" w:line="600" w:lineRule="exact"/>
        <w:ind w:firstLine="664" w:firstLineChars="200"/>
        <w:jc w:val="left"/>
        <w:rPr>
          <w:rFonts w:hint="default" w:ascii="黑体" w:hAnsi="黑体" w:eastAsia="黑体" w:cs="Times New Roman"/>
          <w:bCs/>
          <w:kern w:val="0"/>
          <w:sz w:val="32"/>
          <w:szCs w:val="32"/>
        </w:rPr>
      </w:pPr>
      <w:r>
        <w:rPr>
          <w:rFonts w:hint="default" w:ascii="黑体" w:hAnsi="黑体" w:eastAsia="黑体" w:cs="Times New Roman"/>
          <w:bCs/>
          <w:kern w:val="0"/>
          <w:sz w:val="32"/>
          <w:szCs w:val="32"/>
        </w:rPr>
        <w:t>五、关于</w:t>
      </w:r>
      <w:r>
        <w:rPr>
          <w:rFonts w:hint="default" w:ascii="黑体" w:hAnsi="黑体" w:eastAsia="黑体" w:cs="Times New Roman"/>
          <w:bCs/>
          <w:kern w:val="0"/>
          <w:sz w:val="32"/>
          <w:szCs w:val="32"/>
          <w:lang w:val="en"/>
        </w:rPr>
        <w:t>2024</w:t>
      </w:r>
      <w:r>
        <w:rPr>
          <w:rFonts w:hint="default" w:ascii="黑体" w:hAnsi="黑体" w:eastAsia="黑体" w:cs="Times New Roman"/>
          <w:bCs/>
          <w:kern w:val="0"/>
          <w:sz w:val="32"/>
          <w:szCs w:val="32"/>
        </w:rPr>
        <w:t>年一般公共预算支出表的说明</w:t>
      </w:r>
    </w:p>
    <w:p w14:paraId="537A700E">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楷体_GB2312" w:cs="TimesNewRoman"/>
          <w:b/>
          <w:sz w:val="32"/>
          <w:szCs w:val="32"/>
        </w:rPr>
      </w:pPr>
      <w:r>
        <w:rPr>
          <w:rFonts w:hint="default" w:ascii="TimesNewRoman" w:hAnsi="TimesNewRoman" w:eastAsia="楷体_GB2312" w:cs="TimesNewRoman"/>
          <w:b/>
          <w:sz w:val="32"/>
          <w:szCs w:val="32"/>
        </w:rPr>
        <w:t>（一）一般公共预算支出规模变化情况。</w:t>
      </w:r>
    </w:p>
    <w:p w14:paraId="004BBAD9">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年一般公共预算支出59.51万元，比</w:t>
      </w:r>
      <w:r>
        <w:rPr>
          <w:rFonts w:hint="eastAsia" w:ascii="TimesNewRoman" w:hAnsi="TimesNewRoman" w:eastAsia="仿宋_GB2312" w:cs="TimesNewRoman"/>
          <w:sz w:val="32"/>
          <w:szCs w:val="32"/>
          <w:lang w:eastAsia="zh-CN"/>
        </w:rPr>
        <w:t>2023</w:t>
      </w:r>
      <w:r>
        <w:rPr>
          <w:rFonts w:hint="default" w:ascii="TimesNewRoman" w:hAnsi="TimesNewRoman" w:eastAsia="仿宋_GB2312" w:cs="TimesNewRoman"/>
          <w:sz w:val="32"/>
          <w:szCs w:val="32"/>
        </w:rPr>
        <w:t>年预算增加14.66万元，增长32.</w:t>
      </w:r>
      <w:r>
        <w:rPr>
          <w:rFonts w:hint="eastAsia" w:ascii="TimesNewRoman" w:hAnsi="TimesNewRoman" w:eastAsia="仿宋_GB2312" w:cs="TimesNewRoman"/>
          <w:sz w:val="32"/>
          <w:szCs w:val="32"/>
          <w:lang w:val="en-US" w:eastAsia="zh-CN"/>
        </w:rPr>
        <w:t>69</w:t>
      </w:r>
      <w:r>
        <w:rPr>
          <w:rFonts w:hint="default" w:ascii="TimesNewRoman" w:hAnsi="TimesNewRoman" w:eastAsia="仿宋_GB2312" w:cs="TimesNewRoman"/>
          <w:sz w:val="32"/>
          <w:szCs w:val="32"/>
        </w:rPr>
        <w:t>%，增长原因主要是</w:t>
      </w:r>
      <w:r>
        <w:rPr>
          <w:rFonts w:hint="eastAsia" w:ascii="TimesNewRoman" w:hAnsi="TimesNewRoman" w:eastAsia="仿宋_GB2312" w:cs="TimesNewRoman"/>
          <w:sz w:val="32"/>
          <w:szCs w:val="32"/>
          <w:lang w:eastAsia="zh-CN"/>
        </w:rPr>
        <w:t>人员</w:t>
      </w:r>
      <w:r>
        <w:rPr>
          <w:rFonts w:hint="eastAsia" w:ascii="TimesNewRoman" w:hAnsi="TimesNewRoman" w:eastAsia="仿宋_GB2312" w:cs="TimesNewRoman"/>
          <w:sz w:val="32"/>
          <w:szCs w:val="32"/>
          <w:lang w:val="en-US" w:eastAsia="zh-CN"/>
        </w:rPr>
        <w:t>调入1人，基本支出预算随之增加</w:t>
      </w:r>
      <w:r>
        <w:rPr>
          <w:rFonts w:hint="eastAsia" w:ascii="TimesNewRoman" w:hAnsi="TimesNewRoman" w:eastAsia="仿宋_GB2312" w:cs="TimesNewRoman"/>
          <w:sz w:val="32"/>
          <w:szCs w:val="32"/>
          <w:lang w:eastAsia="zh-CN"/>
        </w:rPr>
        <w:t>。</w:t>
      </w:r>
    </w:p>
    <w:p w14:paraId="342DC105">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楷体_GB2312" w:cs="TimesNewRoman"/>
          <w:b/>
          <w:sz w:val="32"/>
          <w:szCs w:val="32"/>
        </w:rPr>
      </w:pPr>
      <w:r>
        <w:rPr>
          <w:rFonts w:hint="default" w:ascii="TimesNewRoman" w:hAnsi="TimesNewRoman" w:eastAsia="楷体_GB2312" w:cs="TimesNewRoman"/>
          <w:b/>
          <w:sz w:val="32"/>
          <w:szCs w:val="32"/>
        </w:rPr>
        <w:t>（二）一般公共预算支出结构情况。</w:t>
      </w:r>
    </w:p>
    <w:p w14:paraId="79244B95">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default" w:ascii="TimesNewRoman" w:hAnsi="TimesNewRoman" w:eastAsia="仿宋_GB2312" w:cs="TimesNewRoman"/>
          <w:sz w:val="32"/>
          <w:szCs w:val="32"/>
        </w:rPr>
        <w:t>一般公共服务支出46.32</w:t>
      </w:r>
      <w:r>
        <w:rPr>
          <w:rFonts w:hint="eastAsia" w:ascii="TimesNewRoman" w:hAnsi="TimesNewRoman" w:eastAsia="仿宋_GB2312" w:cs="TimesNewRoman"/>
          <w:sz w:val="32"/>
          <w:szCs w:val="32"/>
          <w:lang w:val="en-US" w:eastAsia="zh-CN"/>
        </w:rPr>
        <w:t>万元</w:t>
      </w:r>
      <w:r>
        <w:rPr>
          <w:rFonts w:hint="default" w:ascii="TimesNewRoman" w:hAnsi="TimesNewRoman" w:eastAsia="仿宋_GB2312" w:cs="TimesNewRoman"/>
          <w:sz w:val="32"/>
          <w:szCs w:val="32"/>
        </w:rPr>
        <w:t>，占77.8</w:t>
      </w:r>
      <w:r>
        <w:rPr>
          <w:rFonts w:hint="eastAsia" w:ascii="TimesNewRoman" w:hAnsi="TimesNewRoman" w:eastAsia="仿宋_GB2312" w:cs="TimesNewRoman"/>
          <w:sz w:val="32"/>
          <w:szCs w:val="32"/>
          <w:lang w:val="en-US" w:eastAsia="zh-CN"/>
        </w:rPr>
        <w:t>4</w:t>
      </w:r>
      <w:r>
        <w:rPr>
          <w:rFonts w:hint="default" w:ascii="TimesNewRoman" w:hAnsi="TimesNewRoman" w:eastAsia="仿宋_GB2312" w:cs="TimesNewRoman"/>
          <w:sz w:val="32"/>
          <w:szCs w:val="32"/>
        </w:rPr>
        <w:t>%；社会保障和就业支出8.17</w:t>
      </w:r>
      <w:r>
        <w:rPr>
          <w:rFonts w:hint="eastAsia" w:ascii="TimesNewRoman" w:hAnsi="TimesNewRoman" w:eastAsia="仿宋_GB2312" w:cs="TimesNewRoman"/>
          <w:sz w:val="32"/>
          <w:szCs w:val="32"/>
          <w:lang w:val="en-US" w:eastAsia="zh-CN"/>
        </w:rPr>
        <w:t>万元</w:t>
      </w:r>
      <w:r>
        <w:rPr>
          <w:rFonts w:hint="default" w:ascii="TimesNewRoman" w:hAnsi="TimesNewRoman" w:eastAsia="仿宋_GB2312" w:cs="TimesNewRoman"/>
          <w:sz w:val="32"/>
          <w:szCs w:val="32"/>
        </w:rPr>
        <w:t>，占13.7</w:t>
      </w:r>
      <w:r>
        <w:rPr>
          <w:rFonts w:hint="eastAsia" w:ascii="TimesNewRoman" w:hAnsi="TimesNewRoman" w:eastAsia="仿宋_GB2312" w:cs="TimesNewRoman"/>
          <w:sz w:val="32"/>
          <w:szCs w:val="32"/>
          <w:lang w:val="en-US" w:eastAsia="zh-CN"/>
        </w:rPr>
        <w:t>3</w:t>
      </w:r>
      <w:r>
        <w:rPr>
          <w:rFonts w:hint="default" w:ascii="TimesNewRoman" w:hAnsi="TimesNewRoman" w:eastAsia="仿宋_GB2312" w:cs="TimesNewRoman"/>
          <w:sz w:val="32"/>
          <w:szCs w:val="32"/>
        </w:rPr>
        <w:t>%；卫生健康支出1.30</w:t>
      </w:r>
      <w:r>
        <w:rPr>
          <w:rFonts w:hint="eastAsia" w:ascii="TimesNewRoman" w:hAnsi="TimesNewRoman" w:eastAsia="仿宋_GB2312" w:cs="TimesNewRoman"/>
          <w:sz w:val="32"/>
          <w:szCs w:val="32"/>
          <w:lang w:val="en-US" w:eastAsia="zh-CN"/>
        </w:rPr>
        <w:t>万元</w:t>
      </w:r>
      <w:r>
        <w:rPr>
          <w:rFonts w:hint="default" w:ascii="TimesNewRoman" w:hAnsi="TimesNewRoman" w:eastAsia="仿宋_GB2312" w:cs="TimesNewRoman"/>
          <w:sz w:val="32"/>
          <w:szCs w:val="32"/>
        </w:rPr>
        <w:t>，占2.</w:t>
      </w:r>
      <w:r>
        <w:rPr>
          <w:rFonts w:hint="eastAsia" w:ascii="TimesNewRoman" w:hAnsi="TimesNewRoman" w:eastAsia="仿宋_GB2312" w:cs="TimesNewRoman"/>
          <w:sz w:val="32"/>
          <w:szCs w:val="32"/>
          <w:lang w:val="en-US" w:eastAsia="zh-CN"/>
        </w:rPr>
        <w:t>18</w:t>
      </w:r>
      <w:r>
        <w:rPr>
          <w:rFonts w:hint="default" w:ascii="TimesNewRoman" w:hAnsi="TimesNewRoman" w:eastAsia="仿宋_GB2312" w:cs="TimesNewRoman"/>
          <w:sz w:val="32"/>
          <w:szCs w:val="32"/>
        </w:rPr>
        <w:t>%；住房保障支出3.72</w:t>
      </w:r>
      <w:r>
        <w:rPr>
          <w:rFonts w:hint="eastAsia" w:ascii="TimesNewRoman" w:hAnsi="TimesNewRoman" w:eastAsia="仿宋_GB2312" w:cs="TimesNewRoman"/>
          <w:sz w:val="32"/>
          <w:szCs w:val="32"/>
          <w:lang w:val="en-US" w:eastAsia="zh-CN"/>
        </w:rPr>
        <w:t>万元</w:t>
      </w:r>
      <w:r>
        <w:rPr>
          <w:rFonts w:hint="default" w:ascii="TimesNewRoman" w:hAnsi="TimesNewRoman" w:eastAsia="仿宋_GB2312" w:cs="TimesNewRoman"/>
          <w:sz w:val="32"/>
          <w:szCs w:val="32"/>
        </w:rPr>
        <w:t>，占6.</w:t>
      </w:r>
      <w:r>
        <w:rPr>
          <w:rFonts w:hint="eastAsia" w:ascii="TimesNewRoman" w:hAnsi="TimesNewRoman" w:eastAsia="仿宋_GB2312" w:cs="TimesNewRoman"/>
          <w:sz w:val="32"/>
          <w:szCs w:val="32"/>
          <w:lang w:val="en-US" w:eastAsia="zh-CN"/>
        </w:rPr>
        <w:t>25</w:t>
      </w:r>
      <w:r>
        <w:rPr>
          <w:rFonts w:hint="default" w:ascii="TimesNewRoman" w:hAnsi="TimesNewRoman" w:eastAsia="仿宋_GB2312" w:cs="TimesNewRoman"/>
          <w:sz w:val="32"/>
          <w:szCs w:val="32"/>
        </w:rPr>
        <w:t>%。</w:t>
      </w:r>
    </w:p>
    <w:p w14:paraId="7A1AA9BC">
      <w:pPr>
        <w:keepNext w:val="0"/>
        <w:keepLines w:val="0"/>
        <w:pageBreakBefore w:val="0"/>
        <w:kinsoku/>
        <w:overflowPunct/>
        <w:topLinePunct w:val="0"/>
        <w:autoSpaceDE/>
        <w:autoSpaceDN/>
        <w:bidi w:val="0"/>
        <w:adjustRightInd w:val="0"/>
        <w:snapToGrid w:val="0"/>
        <w:spacing w:line="560" w:lineRule="exact"/>
        <w:ind w:firstLine="664" w:firstLineChars="200"/>
        <w:rPr>
          <w:rFonts w:hint="default" w:ascii="TimesNewRoman" w:hAnsi="TimesNewRoman" w:eastAsia="仿宋_GB2312" w:cs="TimesNewRoman"/>
          <w:b/>
          <w:szCs w:val="32"/>
          <w:lang w:val="en-US" w:eastAsia="zh-CN"/>
        </w:rPr>
      </w:pPr>
      <w:r>
        <w:rPr>
          <w:rFonts w:hint="default" w:ascii="TimesNewRoman" w:hAnsi="TimesNewRoman" w:eastAsia="楷体_GB2312" w:cs="TimesNewRoman"/>
          <w:b/>
          <w:szCs w:val="32"/>
        </w:rPr>
        <w:t>（三）一般公共预算支出具体使用情况。</w:t>
      </w:r>
    </w:p>
    <w:p w14:paraId="57EB0906">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rPr>
        <w:t>1.</w:t>
      </w:r>
      <w:r>
        <w:rPr>
          <w:rFonts w:hint="eastAsia" w:ascii="TimesNewRoman" w:hAnsi="TimesNewRoman" w:eastAsia="仿宋_GB2312" w:cs="TimesNewRoman"/>
          <w:sz w:val="32"/>
          <w:szCs w:val="32"/>
          <w:lang w:val="en-US" w:eastAsia="zh-CN"/>
        </w:rPr>
        <w:t>一般公共服务支出（类）人大事务（款）事业运行（项）</w:t>
      </w: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年预算46.22万元，比</w:t>
      </w:r>
      <w:r>
        <w:rPr>
          <w:rFonts w:hint="eastAsia" w:ascii="TimesNewRoman" w:hAnsi="TimesNewRoman" w:eastAsia="仿宋_GB2312" w:cs="TimesNewRoman"/>
          <w:sz w:val="32"/>
          <w:szCs w:val="32"/>
          <w:lang w:eastAsia="zh-CN"/>
        </w:rPr>
        <w:t>2023</w:t>
      </w:r>
      <w:r>
        <w:rPr>
          <w:rFonts w:hint="default" w:ascii="TimesNewRoman" w:hAnsi="TimesNewRoman" w:eastAsia="仿宋_GB2312" w:cs="TimesNewRoman"/>
          <w:sz w:val="32"/>
          <w:szCs w:val="32"/>
        </w:rPr>
        <w:t>年预算增加11万元，增长31.2</w:t>
      </w:r>
      <w:r>
        <w:rPr>
          <w:rFonts w:hint="eastAsia" w:ascii="TimesNewRoman" w:hAnsi="TimesNewRoman" w:eastAsia="仿宋_GB2312" w:cs="TimesNewRoman"/>
          <w:sz w:val="32"/>
          <w:szCs w:val="32"/>
          <w:lang w:val="en-US" w:eastAsia="zh-CN"/>
        </w:rPr>
        <w:t>3</w:t>
      </w:r>
      <w:r>
        <w:rPr>
          <w:rFonts w:hint="default" w:ascii="TimesNewRoman" w:hAnsi="TimesNewRoman" w:eastAsia="仿宋_GB2312" w:cs="TimesNewRoman"/>
          <w:sz w:val="32"/>
          <w:szCs w:val="32"/>
        </w:rPr>
        <w:t>%，增长原因主要是</w:t>
      </w:r>
      <w:r>
        <w:rPr>
          <w:rFonts w:hint="eastAsia" w:ascii="TimesNewRoman" w:hAnsi="TimesNewRoman" w:eastAsia="仿宋_GB2312" w:cs="TimesNewRoman"/>
          <w:sz w:val="32"/>
          <w:szCs w:val="32"/>
          <w:lang w:eastAsia="zh-CN"/>
        </w:rPr>
        <w:t>人员</w:t>
      </w:r>
      <w:r>
        <w:rPr>
          <w:rFonts w:hint="eastAsia" w:ascii="TimesNewRoman" w:hAnsi="TimesNewRoman" w:eastAsia="仿宋_GB2312" w:cs="TimesNewRoman"/>
          <w:sz w:val="32"/>
          <w:szCs w:val="32"/>
          <w:lang w:val="en-US" w:eastAsia="zh-CN"/>
        </w:rPr>
        <w:t>调入1人，基本支出预算随之增加</w:t>
      </w:r>
      <w:r>
        <w:rPr>
          <w:rFonts w:hint="eastAsia" w:ascii="TimesNewRoman" w:hAnsi="TimesNewRoman" w:eastAsia="仿宋_GB2312" w:cs="TimesNewRoman"/>
          <w:sz w:val="32"/>
          <w:szCs w:val="32"/>
          <w:lang w:eastAsia="zh-CN"/>
        </w:rPr>
        <w:t>。</w:t>
      </w:r>
    </w:p>
    <w:p w14:paraId="5FF51909">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rPr>
        <w:t>2.</w:t>
      </w:r>
      <w:r>
        <w:rPr>
          <w:rFonts w:hint="eastAsia" w:ascii="TimesNewRoman" w:hAnsi="TimesNewRoman" w:eastAsia="仿宋_GB2312" w:cs="TimesNewRoman"/>
          <w:sz w:val="32"/>
          <w:szCs w:val="32"/>
          <w:lang w:val="en-US" w:eastAsia="zh-CN"/>
        </w:rPr>
        <w:t>一般公共服务支出（类）其他共产党事务支出（款）其他共产党事务支出（项）</w:t>
      </w:r>
      <w:r>
        <w:rPr>
          <w:rFonts w:hint="default" w:ascii="TimesNewRoman" w:hAnsi="TimesNewRoman" w:eastAsia="仿宋_GB2312" w:cs="TimesNewRoman"/>
          <w:sz w:val="32"/>
          <w:szCs w:val="32"/>
          <w:lang w:val="en" w:eastAsia="zh-CN"/>
        </w:rPr>
        <w:t>2024</w:t>
      </w:r>
      <w:r>
        <w:rPr>
          <w:rFonts w:hint="default" w:ascii="TimesNewRoman" w:hAnsi="TimesNewRoman" w:eastAsia="仿宋_GB2312" w:cs="TimesNewRoman"/>
          <w:sz w:val="32"/>
          <w:szCs w:val="32"/>
          <w:lang w:val="en-US" w:eastAsia="zh-CN"/>
        </w:rPr>
        <w:t>年预算0.1万元，</w:t>
      </w:r>
      <w:r>
        <w:rPr>
          <w:rFonts w:hint="eastAsia" w:ascii="TimesNewRoman" w:hAnsi="TimesNewRoman" w:eastAsia="仿宋_GB2312" w:cs="TimesNewRoman"/>
          <w:sz w:val="32"/>
          <w:szCs w:val="32"/>
          <w:lang w:val="en-US" w:eastAsia="zh-CN"/>
        </w:rPr>
        <w:t>与2023</w:t>
      </w:r>
      <w:r>
        <w:rPr>
          <w:rFonts w:hint="default" w:ascii="TimesNewRoman" w:hAnsi="TimesNewRoman" w:eastAsia="仿宋_GB2312" w:cs="TimesNewRoman"/>
          <w:sz w:val="32"/>
          <w:szCs w:val="32"/>
          <w:lang w:val="en-US" w:eastAsia="zh-CN"/>
        </w:rPr>
        <w:t>年预算</w:t>
      </w:r>
      <w:r>
        <w:rPr>
          <w:rFonts w:hint="eastAsia" w:ascii="TimesNewRoman" w:hAnsi="TimesNewRoman" w:eastAsia="仿宋_GB2312" w:cs="TimesNewRoman"/>
          <w:sz w:val="32"/>
          <w:szCs w:val="32"/>
          <w:lang w:val="en-US" w:eastAsia="zh-CN"/>
        </w:rPr>
        <w:t>持平</w:t>
      </w:r>
      <w:r>
        <w:rPr>
          <w:rFonts w:hint="default" w:ascii="TimesNewRoman" w:hAnsi="TimesNewRoman" w:eastAsia="仿宋_GB2312" w:cs="TimesNewRoman"/>
          <w:sz w:val="32"/>
          <w:szCs w:val="32"/>
          <w:lang w:val="en-US" w:eastAsia="zh-CN"/>
        </w:rPr>
        <w:t>。</w:t>
      </w:r>
    </w:p>
    <w:p w14:paraId="5B0F7A79">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eastAsia" w:ascii="TimesNewRoman" w:hAnsi="TimesNewRoman" w:eastAsia="仿宋_GB2312" w:cs="TimesNewRoman"/>
          <w:sz w:val="32"/>
          <w:szCs w:val="32"/>
          <w:lang w:val="en-US" w:eastAsia="zh-CN"/>
        </w:rPr>
      </w:pPr>
      <w:r>
        <w:rPr>
          <w:rFonts w:hint="default" w:ascii="TimesNewRoman" w:hAnsi="TimesNewRoman" w:eastAsia="仿宋_GB2312" w:cs="TimesNewRoman"/>
          <w:sz w:val="32"/>
          <w:szCs w:val="32"/>
        </w:rPr>
        <w:t>3.</w:t>
      </w:r>
      <w:r>
        <w:rPr>
          <w:rFonts w:hint="eastAsia" w:ascii="TimesNewRoman" w:hAnsi="TimesNewRoman" w:eastAsia="仿宋_GB2312" w:cs="TimesNewRoman"/>
          <w:sz w:val="32"/>
          <w:szCs w:val="32"/>
          <w:lang w:val="en-US" w:eastAsia="zh-CN"/>
        </w:rPr>
        <w:t>社会保障和就业支出（类）行政事业单位养老支出（款）机关事业单位基本养老保险缴费支出（项）</w:t>
      </w:r>
      <w:r>
        <w:rPr>
          <w:rFonts w:hint="default" w:ascii="TimesNewRoman" w:hAnsi="TimesNewRoman" w:eastAsia="仿宋_GB2312" w:cs="TimesNewRoman"/>
          <w:sz w:val="32"/>
          <w:szCs w:val="32"/>
          <w:lang w:val="en" w:eastAsia="zh-CN"/>
        </w:rPr>
        <w:t>2024</w:t>
      </w:r>
      <w:r>
        <w:rPr>
          <w:rFonts w:hint="default" w:ascii="TimesNewRoman" w:hAnsi="TimesNewRoman" w:eastAsia="仿宋_GB2312" w:cs="TimesNewRoman"/>
          <w:sz w:val="32"/>
          <w:szCs w:val="32"/>
          <w:lang w:val="en-US" w:eastAsia="zh-CN"/>
        </w:rPr>
        <w:t>年预算5.45万元，比</w:t>
      </w:r>
      <w:r>
        <w:rPr>
          <w:rFonts w:hint="eastAsia" w:ascii="TimesNewRoman" w:hAnsi="TimesNewRoman" w:eastAsia="仿宋_GB2312" w:cs="TimesNewRoman"/>
          <w:sz w:val="32"/>
          <w:szCs w:val="32"/>
          <w:lang w:val="en-US" w:eastAsia="zh-CN"/>
        </w:rPr>
        <w:t>2023</w:t>
      </w:r>
      <w:r>
        <w:rPr>
          <w:rFonts w:hint="default" w:ascii="TimesNewRoman" w:hAnsi="TimesNewRoman" w:eastAsia="仿宋_GB2312" w:cs="TimesNewRoman"/>
          <w:sz w:val="32"/>
          <w:szCs w:val="32"/>
          <w:lang w:val="en-US" w:eastAsia="zh-CN"/>
        </w:rPr>
        <w:t>年预算增加1.5万元，增长3</w:t>
      </w:r>
      <w:r>
        <w:rPr>
          <w:rFonts w:hint="eastAsia" w:ascii="TimesNewRoman" w:hAnsi="TimesNewRoman" w:eastAsia="仿宋_GB2312" w:cs="TimesNewRoman"/>
          <w:sz w:val="32"/>
          <w:szCs w:val="32"/>
          <w:lang w:val="en-US" w:eastAsia="zh-CN"/>
        </w:rPr>
        <w:t>7.97</w:t>
      </w:r>
      <w:r>
        <w:rPr>
          <w:rFonts w:hint="default" w:ascii="TimesNewRoman" w:hAnsi="TimesNewRoman" w:eastAsia="仿宋_GB2312" w:cs="TimesNewRoman"/>
          <w:sz w:val="32"/>
          <w:szCs w:val="32"/>
          <w:lang w:val="en-US" w:eastAsia="zh-CN"/>
        </w:rPr>
        <w:t>%，增长原因主要是</w:t>
      </w:r>
      <w:r>
        <w:rPr>
          <w:rFonts w:hint="eastAsia" w:ascii="TimesNewRoman" w:hAnsi="TimesNewRoman" w:eastAsia="仿宋_GB2312" w:cs="TimesNewRoman"/>
          <w:sz w:val="32"/>
          <w:szCs w:val="32"/>
          <w:lang w:val="en-US" w:eastAsia="zh-CN"/>
        </w:rPr>
        <w:t>人员调入1人，基本养老保险缴费支出预算随之增加</w:t>
      </w:r>
      <w:r>
        <w:rPr>
          <w:rFonts w:hint="default" w:ascii="TimesNewRoman" w:hAnsi="TimesNewRoman" w:eastAsia="仿宋_GB2312" w:cs="TimesNewRoman"/>
          <w:sz w:val="32"/>
          <w:szCs w:val="32"/>
          <w:lang w:val="en-US" w:eastAsia="zh-CN"/>
        </w:rPr>
        <w:t>。</w:t>
      </w:r>
    </w:p>
    <w:p w14:paraId="6E5B3906">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eastAsia" w:ascii="TimesNewRoman" w:hAnsi="TimesNewRoman" w:eastAsia="仿宋_GB2312" w:cs="TimesNewRoman"/>
          <w:sz w:val="32"/>
          <w:szCs w:val="32"/>
          <w:lang w:val="en-US" w:eastAsia="zh-CN"/>
        </w:rPr>
      </w:pPr>
      <w:r>
        <w:rPr>
          <w:rFonts w:hint="default" w:ascii="TimesNewRoman" w:hAnsi="TimesNewRoman" w:eastAsia="仿宋_GB2312" w:cs="TimesNewRoman"/>
          <w:sz w:val="32"/>
          <w:szCs w:val="32"/>
        </w:rPr>
        <w:t>4.</w:t>
      </w:r>
      <w:r>
        <w:rPr>
          <w:rFonts w:hint="eastAsia" w:ascii="TimesNewRoman" w:hAnsi="TimesNewRoman" w:eastAsia="仿宋_GB2312" w:cs="TimesNewRoman"/>
          <w:sz w:val="32"/>
          <w:szCs w:val="32"/>
          <w:lang w:val="en-US" w:eastAsia="zh-CN"/>
        </w:rPr>
        <w:t>社会保障和就业支出（类）行政事业单位养老支出（款）机关事业单位职业年金缴费支出（项）</w:t>
      </w:r>
      <w:r>
        <w:rPr>
          <w:rFonts w:hint="default" w:ascii="TimesNewRoman" w:hAnsi="TimesNewRoman" w:eastAsia="仿宋_GB2312" w:cs="TimesNewRoman"/>
          <w:sz w:val="32"/>
          <w:szCs w:val="32"/>
          <w:lang w:val="en" w:eastAsia="zh-CN"/>
        </w:rPr>
        <w:t>2024</w:t>
      </w:r>
      <w:r>
        <w:rPr>
          <w:rFonts w:hint="default" w:ascii="TimesNewRoman" w:hAnsi="TimesNewRoman" w:eastAsia="仿宋_GB2312" w:cs="TimesNewRoman"/>
          <w:sz w:val="32"/>
          <w:szCs w:val="32"/>
          <w:lang w:val="en-US" w:eastAsia="zh-CN"/>
        </w:rPr>
        <w:t>年预算2.72万元，比</w:t>
      </w:r>
      <w:r>
        <w:rPr>
          <w:rFonts w:hint="eastAsia" w:ascii="TimesNewRoman" w:hAnsi="TimesNewRoman" w:eastAsia="仿宋_GB2312" w:cs="TimesNewRoman"/>
          <w:sz w:val="32"/>
          <w:szCs w:val="32"/>
          <w:lang w:val="en-US" w:eastAsia="zh-CN"/>
        </w:rPr>
        <w:t>2023</w:t>
      </w:r>
      <w:r>
        <w:rPr>
          <w:rFonts w:hint="default" w:ascii="TimesNewRoman" w:hAnsi="TimesNewRoman" w:eastAsia="仿宋_GB2312" w:cs="TimesNewRoman"/>
          <w:sz w:val="32"/>
          <w:szCs w:val="32"/>
          <w:lang w:val="en-US" w:eastAsia="zh-CN"/>
        </w:rPr>
        <w:t>年预算增加0.75万元，增长38.</w:t>
      </w:r>
      <w:r>
        <w:rPr>
          <w:rFonts w:hint="eastAsia" w:ascii="TimesNewRoman" w:hAnsi="TimesNewRoman" w:eastAsia="仿宋_GB2312" w:cs="TimesNewRoman"/>
          <w:sz w:val="32"/>
          <w:szCs w:val="32"/>
          <w:lang w:val="en-US" w:eastAsia="zh-CN"/>
        </w:rPr>
        <w:t>07</w:t>
      </w:r>
      <w:r>
        <w:rPr>
          <w:rFonts w:hint="default" w:ascii="TimesNewRoman" w:hAnsi="TimesNewRoman" w:eastAsia="仿宋_GB2312" w:cs="TimesNewRoman"/>
          <w:sz w:val="32"/>
          <w:szCs w:val="32"/>
          <w:lang w:val="en-US" w:eastAsia="zh-CN"/>
        </w:rPr>
        <w:t>%，增长原因主要是</w:t>
      </w:r>
      <w:r>
        <w:rPr>
          <w:rFonts w:hint="eastAsia" w:ascii="TimesNewRoman" w:hAnsi="TimesNewRoman" w:eastAsia="仿宋_GB2312" w:cs="TimesNewRoman"/>
          <w:sz w:val="32"/>
          <w:szCs w:val="32"/>
          <w:lang w:val="en-US" w:eastAsia="zh-CN"/>
        </w:rPr>
        <w:t>人员调入1人，职业年金缴费支出预算随之增加</w:t>
      </w:r>
      <w:r>
        <w:rPr>
          <w:rFonts w:hint="default" w:ascii="TimesNewRoman" w:hAnsi="TimesNewRoman" w:eastAsia="仿宋_GB2312" w:cs="TimesNewRoman"/>
          <w:sz w:val="32"/>
          <w:szCs w:val="32"/>
          <w:lang w:val="en-US" w:eastAsia="zh-CN"/>
        </w:rPr>
        <w:t>。</w:t>
      </w:r>
    </w:p>
    <w:p w14:paraId="45EB690F">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rPr>
        <w:t>5.</w:t>
      </w:r>
      <w:r>
        <w:rPr>
          <w:rFonts w:hint="eastAsia" w:ascii="TimesNewRoman" w:hAnsi="TimesNewRoman" w:eastAsia="仿宋_GB2312" w:cs="TimesNewRoman"/>
          <w:sz w:val="32"/>
          <w:szCs w:val="32"/>
          <w:lang w:val="en-US" w:eastAsia="zh-CN"/>
        </w:rPr>
        <w:t>卫生健康支出（类）行政事业单位医疗（款）事业单位医疗（项）</w:t>
      </w:r>
      <w:r>
        <w:rPr>
          <w:rFonts w:hint="default" w:ascii="TimesNewRoman" w:hAnsi="TimesNewRoman" w:eastAsia="仿宋_GB2312" w:cs="TimesNewRoman"/>
          <w:sz w:val="32"/>
          <w:szCs w:val="32"/>
          <w:lang w:val="en" w:eastAsia="zh-CN"/>
        </w:rPr>
        <w:t>2024</w:t>
      </w:r>
      <w:r>
        <w:rPr>
          <w:rFonts w:hint="default" w:ascii="TimesNewRoman" w:hAnsi="TimesNewRoman" w:eastAsia="仿宋_GB2312" w:cs="TimesNewRoman"/>
          <w:sz w:val="32"/>
          <w:szCs w:val="32"/>
          <w:lang w:val="en-US" w:eastAsia="zh-CN"/>
        </w:rPr>
        <w:t>年预算1.21万元，比</w:t>
      </w:r>
      <w:r>
        <w:rPr>
          <w:rFonts w:hint="eastAsia" w:ascii="TimesNewRoman" w:hAnsi="TimesNewRoman" w:eastAsia="仿宋_GB2312" w:cs="TimesNewRoman"/>
          <w:sz w:val="32"/>
          <w:szCs w:val="32"/>
          <w:lang w:val="en-US" w:eastAsia="zh-CN"/>
        </w:rPr>
        <w:t>2023</w:t>
      </w:r>
      <w:r>
        <w:rPr>
          <w:rFonts w:hint="default" w:ascii="TimesNewRoman" w:hAnsi="TimesNewRoman" w:eastAsia="仿宋_GB2312" w:cs="TimesNewRoman"/>
          <w:sz w:val="32"/>
          <w:szCs w:val="32"/>
          <w:lang w:val="en-US" w:eastAsia="zh-CN"/>
        </w:rPr>
        <w:t>年预算增加0.35万元，增长40.7%，增长原因主要是</w:t>
      </w:r>
      <w:r>
        <w:rPr>
          <w:rFonts w:hint="eastAsia" w:ascii="TimesNewRoman" w:hAnsi="TimesNewRoman" w:eastAsia="仿宋_GB2312" w:cs="TimesNewRoman"/>
          <w:sz w:val="32"/>
          <w:szCs w:val="32"/>
          <w:lang w:val="en-US" w:eastAsia="zh-CN"/>
        </w:rPr>
        <w:t>人员调入1人，事业单位医疗支出预算随之增加</w:t>
      </w:r>
      <w:r>
        <w:rPr>
          <w:rFonts w:hint="default" w:ascii="TimesNewRoman" w:hAnsi="TimesNewRoman" w:eastAsia="仿宋_GB2312" w:cs="TimesNewRoman"/>
          <w:sz w:val="32"/>
          <w:szCs w:val="32"/>
          <w:lang w:val="en-US" w:eastAsia="zh-CN"/>
        </w:rPr>
        <w:t>。</w:t>
      </w:r>
    </w:p>
    <w:p w14:paraId="18CFBB9B">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rPr>
        <w:t>6.</w:t>
      </w:r>
      <w:r>
        <w:rPr>
          <w:rFonts w:hint="eastAsia" w:ascii="TimesNewRoman" w:hAnsi="TimesNewRoman" w:eastAsia="仿宋_GB2312" w:cs="TimesNewRoman"/>
          <w:sz w:val="32"/>
          <w:szCs w:val="32"/>
          <w:lang w:val="en-US" w:eastAsia="zh-CN"/>
        </w:rPr>
        <w:t>卫生健康支出（类）行政事业单位医疗（款）其他行政事业单位医疗支出（项）</w:t>
      </w:r>
      <w:r>
        <w:rPr>
          <w:rFonts w:hint="default" w:ascii="TimesNewRoman" w:hAnsi="TimesNewRoman" w:eastAsia="仿宋_GB2312" w:cs="TimesNewRoman"/>
          <w:sz w:val="32"/>
          <w:szCs w:val="32"/>
          <w:lang w:val="en" w:eastAsia="zh-CN"/>
        </w:rPr>
        <w:t>2024</w:t>
      </w:r>
      <w:r>
        <w:rPr>
          <w:rFonts w:hint="default" w:ascii="TimesNewRoman" w:hAnsi="TimesNewRoman" w:eastAsia="仿宋_GB2312" w:cs="TimesNewRoman"/>
          <w:sz w:val="32"/>
          <w:szCs w:val="32"/>
          <w:lang w:val="en-US" w:eastAsia="zh-CN"/>
        </w:rPr>
        <w:t>年预算0.09万元，比</w:t>
      </w:r>
      <w:r>
        <w:rPr>
          <w:rFonts w:hint="eastAsia" w:ascii="TimesNewRoman" w:hAnsi="TimesNewRoman" w:eastAsia="仿宋_GB2312" w:cs="TimesNewRoman"/>
          <w:sz w:val="32"/>
          <w:szCs w:val="32"/>
          <w:lang w:val="en-US" w:eastAsia="zh-CN"/>
        </w:rPr>
        <w:t>2023</w:t>
      </w:r>
      <w:r>
        <w:rPr>
          <w:rFonts w:hint="default" w:ascii="TimesNewRoman" w:hAnsi="TimesNewRoman" w:eastAsia="仿宋_GB2312" w:cs="TimesNewRoman"/>
          <w:sz w:val="32"/>
          <w:szCs w:val="32"/>
          <w:lang w:val="en-US" w:eastAsia="zh-CN"/>
        </w:rPr>
        <w:t>年预算增加0.03万元，增长50.0%，增长原因主要是</w:t>
      </w:r>
      <w:r>
        <w:rPr>
          <w:rFonts w:hint="eastAsia" w:ascii="TimesNewRoman" w:hAnsi="TimesNewRoman" w:eastAsia="仿宋_GB2312" w:cs="TimesNewRoman"/>
          <w:sz w:val="32"/>
          <w:szCs w:val="32"/>
          <w:lang w:val="en-US" w:eastAsia="zh-CN"/>
        </w:rPr>
        <w:t>人员调入1人，其他行政事业单位医疗支出预算随之增加</w:t>
      </w:r>
      <w:r>
        <w:rPr>
          <w:rFonts w:hint="default" w:ascii="TimesNewRoman" w:hAnsi="TimesNewRoman" w:eastAsia="仿宋_GB2312" w:cs="TimesNewRoman"/>
          <w:sz w:val="32"/>
          <w:szCs w:val="32"/>
          <w:lang w:val="en-US" w:eastAsia="zh-CN"/>
        </w:rPr>
        <w:t>。</w:t>
      </w:r>
    </w:p>
    <w:p w14:paraId="19F2A389">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rPr>
        <w:t>7.</w:t>
      </w:r>
      <w:r>
        <w:rPr>
          <w:rFonts w:hint="eastAsia" w:ascii="TimesNewRoman" w:hAnsi="TimesNewRoman" w:eastAsia="仿宋_GB2312" w:cs="TimesNewRoman"/>
          <w:sz w:val="32"/>
          <w:szCs w:val="32"/>
          <w:lang w:val="en-US" w:eastAsia="zh-CN"/>
        </w:rPr>
        <w:t>住房保障支出（类）住房改革支出（款）住房公积金（项）</w:t>
      </w:r>
      <w:r>
        <w:rPr>
          <w:rFonts w:hint="default" w:ascii="TimesNewRoman" w:hAnsi="TimesNewRoman" w:eastAsia="仿宋_GB2312" w:cs="TimesNewRoman"/>
          <w:sz w:val="32"/>
          <w:szCs w:val="32"/>
          <w:lang w:val="en" w:eastAsia="zh-CN"/>
        </w:rPr>
        <w:t>2024</w:t>
      </w:r>
      <w:r>
        <w:rPr>
          <w:rFonts w:hint="default" w:ascii="TimesNewRoman" w:hAnsi="TimesNewRoman" w:eastAsia="仿宋_GB2312" w:cs="TimesNewRoman"/>
          <w:sz w:val="32"/>
          <w:szCs w:val="32"/>
          <w:lang w:val="en-US" w:eastAsia="zh-CN"/>
        </w:rPr>
        <w:t>年预算3.72万元，比</w:t>
      </w:r>
      <w:r>
        <w:rPr>
          <w:rFonts w:hint="eastAsia" w:ascii="TimesNewRoman" w:hAnsi="TimesNewRoman" w:eastAsia="仿宋_GB2312" w:cs="TimesNewRoman"/>
          <w:sz w:val="32"/>
          <w:szCs w:val="32"/>
          <w:lang w:val="en-US" w:eastAsia="zh-CN"/>
        </w:rPr>
        <w:t>2023</w:t>
      </w:r>
      <w:r>
        <w:rPr>
          <w:rFonts w:hint="default" w:ascii="TimesNewRoman" w:hAnsi="TimesNewRoman" w:eastAsia="仿宋_GB2312" w:cs="TimesNewRoman"/>
          <w:sz w:val="32"/>
          <w:szCs w:val="32"/>
          <w:lang w:val="en-US" w:eastAsia="zh-CN"/>
        </w:rPr>
        <w:t>年预算增加1.03万元，增长38.</w:t>
      </w:r>
      <w:r>
        <w:rPr>
          <w:rFonts w:hint="eastAsia" w:ascii="TimesNewRoman" w:hAnsi="TimesNewRoman" w:eastAsia="仿宋_GB2312" w:cs="TimesNewRoman"/>
          <w:sz w:val="32"/>
          <w:szCs w:val="32"/>
          <w:lang w:val="en-US" w:eastAsia="zh-CN"/>
        </w:rPr>
        <w:t>29</w:t>
      </w:r>
      <w:r>
        <w:rPr>
          <w:rFonts w:hint="default" w:ascii="TimesNewRoman" w:hAnsi="TimesNewRoman" w:eastAsia="仿宋_GB2312" w:cs="TimesNewRoman"/>
          <w:sz w:val="32"/>
          <w:szCs w:val="32"/>
          <w:lang w:val="en-US" w:eastAsia="zh-CN"/>
        </w:rPr>
        <w:t>%，增长原因主要是</w:t>
      </w:r>
      <w:r>
        <w:rPr>
          <w:rFonts w:hint="eastAsia" w:ascii="TimesNewRoman" w:hAnsi="TimesNewRoman" w:eastAsia="仿宋_GB2312" w:cs="TimesNewRoman"/>
          <w:sz w:val="32"/>
          <w:szCs w:val="32"/>
          <w:lang w:val="en-US" w:eastAsia="zh-CN"/>
        </w:rPr>
        <w:t>人员调入1人，住房公积金支出预算随之增加</w:t>
      </w:r>
      <w:r>
        <w:rPr>
          <w:rFonts w:hint="default" w:ascii="TimesNewRoman" w:hAnsi="TimesNewRoman" w:eastAsia="仿宋_GB2312" w:cs="TimesNewRoman"/>
          <w:sz w:val="32"/>
          <w:szCs w:val="32"/>
          <w:lang w:val="en-US" w:eastAsia="zh-CN"/>
        </w:rPr>
        <w:t>。</w:t>
      </w:r>
    </w:p>
    <w:p w14:paraId="359D7ABD">
      <w:pPr>
        <w:pStyle w:val="7"/>
        <w:keepNext w:val="0"/>
        <w:keepLines w:val="0"/>
        <w:pageBreakBefore w:val="0"/>
        <w:kinsoku/>
        <w:overflowPunct/>
        <w:topLinePunct w:val="0"/>
        <w:autoSpaceDE/>
        <w:autoSpaceDN/>
        <w:bidi w:val="0"/>
        <w:adjustRightInd w:val="0"/>
        <w:snapToGrid w:val="0"/>
        <w:spacing w:line="560" w:lineRule="exact"/>
        <w:ind w:firstLine="664" w:firstLineChars="200"/>
        <w:rPr>
          <w:rFonts w:hint="default" w:ascii="TimesNewRoman" w:hAnsi="TimesNewRoman" w:eastAsia="黑体" w:cs="TimesNewRoman"/>
        </w:rPr>
      </w:pPr>
      <w:r>
        <w:rPr>
          <w:rFonts w:hint="default" w:ascii="TimesNewRoman" w:hAnsi="TimesNewRoman" w:eastAsia="黑体" w:cs="TimesNewRoman"/>
          <w:sz w:val="32"/>
          <w:szCs w:val="32"/>
        </w:rPr>
        <w:t>六、关于</w:t>
      </w:r>
      <w:r>
        <w:rPr>
          <w:rFonts w:hint="default" w:ascii="TimesNewRoman" w:hAnsi="TimesNewRoman" w:eastAsia="黑体" w:cs="TimesNewRoman"/>
          <w:sz w:val="32"/>
          <w:szCs w:val="32"/>
          <w:lang w:val="en"/>
        </w:rPr>
        <w:t>2024</w:t>
      </w:r>
      <w:r>
        <w:rPr>
          <w:rFonts w:hint="default" w:ascii="TimesNewRoman" w:hAnsi="TimesNewRoman" w:eastAsia="黑体" w:cs="TimesNewRoman"/>
          <w:sz w:val="32"/>
          <w:szCs w:val="32"/>
        </w:rPr>
        <w:t>年一般公共预算基本支出表的说明</w:t>
      </w:r>
    </w:p>
    <w:p w14:paraId="5F22C67B">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eastAsia" w:ascii="TimesNewRoman" w:hAnsi="TimesNewRoman" w:eastAsia="仿宋_GB2312" w:cs="TimesNewRoman"/>
          <w:sz w:val="32"/>
          <w:szCs w:val="32"/>
          <w:lang w:eastAsia="zh-CN"/>
        </w:rPr>
      </w:pP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年一般公共预算基本支出</w:t>
      </w:r>
      <w:r>
        <w:rPr>
          <w:rFonts w:hint="eastAsia" w:ascii="TimesNewRoman" w:hAnsi="TimesNewRoman" w:eastAsia="仿宋_GB2312" w:cs="TimesNewRoman"/>
          <w:sz w:val="32"/>
          <w:szCs w:val="32"/>
          <w:lang w:val="en-US" w:eastAsia="zh-CN"/>
        </w:rPr>
        <w:t>54.76</w:t>
      </w:r>
      <w:r>
        <w:rPr>
          <w:rFonts w:hint="default" w:ascii="TimesNewRoman" w:hAnsi="TimesNewRoman" w:eastAsia="仿宋_GB2312" w:cs="TimesNewRoman"/>
          <w:sz w:val="32"/>
          <w:szCs w:val="32"/>
        </w:rPr>
        <w:t>万元，其中</w:t>
      </w:r>
      <w:r>
        <w:rPr>
          <w:rFonts w:hint="eastAsia" w:ascii="TimesNewRoman" w:hAnsi="TimesNewRoman" w:eastAsia="仿宋_GB2312" w:cs="TimesNewRoman"/>
          <w:sz w:val="32"/>
          <w:szCs w:val="32"/>
          <w:lang w:eastAsia="zh-CN"/>
        </w:rPr>
        <w:t>：</w:t>
      </w:r>
    </w:p>
    <w:p w14:paraId="7E528B61">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eastAsia" w:ascii="TimesNewRoman" w:hAnsi="TimesNewRoman" w:eastAsia="仿宋_GB2312" w:cs="TimesNewRoman"/>
          <w:sz w:val="32"/>
          <w:szCs w:val="32"/>
        </w:rPr>
      </w:pPr>
      <w:r>
        <w:rPr>
          <w:rFonts w:hint="default" w:ascii="TimesNewRoman" w:hAnsi="TimesNewRoman" w:eastAsia="仿宋_GB2312" w:cs="TimesNewRoman"/>
          <w:sz w:val="32"/>
          <w:szCs w:val="32"/>
        </w:rPr>
        <w:t>工资福利支出</w:t>
      </w:r>
      <w:r>
        <w:rPr>
          <w:rFonts w:hint="eastAsia" w:ascii="TimesNewRoman" w:hAnsi="TimesNewRoman" w:eastAsia="仿宋_GB2312" w:cs="TimesNewRoman"/>
          <w:sz w:val="32"/>
          <w:szCs w:val="32"/>
          <w:lang w:val="en-US" w:eastAsia="zh-CN"/>
        </w:rPr>
        <w:t>51.37</w:t>
      </w:r>
      <w:r>
        <w:rPr>
          <w:rFonts w:hint="default" w:ascii="TimesNewRoman" w:hAnsi="TimesNewRoman" w:eastAsia="仿宋_GB2312" w:cs="TimesNewRoman"/>
          <w:sz w:val="32"/>
          <w:szCs w:val="32"/>
        </w:rPr>
        <w:t>万元，主要包括：基本工资、津贴补贴、</w:t>
      </w:r>
      <w:r>
        <w:rPr>
          <w:rFonts w:hint="eastAsia" w:ascii="TimesNewRoman" w:hAnsi="TimesNewRoman" w:eastAsia="仿宋_GB2312" w:cs="TimesNewRoman"/>
          <w:sz w:val="32"/>
          <w:szCs w:val="32"/>
          <w:lang w:val="en-US" w:eastAsia="zh-CN"/>
        </w:rPr>
        <w:t>奖金、</w:t>
      </w:r>
      <w:r>
        <w:rPr>
          <w:rFonts w:hint="default" w:ascii="TimesNewRoman" w:hAnsi="TimesNewRoman" w:eastAsia="仿宋_GB2312" w:cs="TimesNewRoman"/>
          <w:sz w:val="32"/>
          <w:szCs w:val="32"/>
        </w:rPr>
        <w:t>机关事业单位基本养老保险缴费、职业年金缴费、职工基本医疗保险缴费、</w:t>
      </w:r>
      <w:r>
        <w:rPr>
          <w:rFonts w:hint="eastAsia" w:ascii="TimesNewRoman" w:hAnsi="TimesNewRoman" w:eastAsia="仿宋_GB2312" w:cs="TimesNewRoman"/>
          <w:sz w:val="32"/>
          <w:szCs w:val="32"/>
        </w:rPr>
        <w:t>其他社会保障缴费</w:t>
      </w:r>
      <w:r>
        <w:rPr>
          <w:rFonts w:hint="eastAsia" w:ascii="TimesNewRoman" w:hAnsi="TimesNewRoman" w:eastAsia="仿宋_GB2312" w:cs="TimesNewRoman"/>
          <w:sz w:val="32"/>
          <w:szCs w:val="32"/>
          <w:lang w:eastAsia="zh-CN"/>
        </w:rPr>
        <w:t>、</w:t>
      </w:r>
      <w:r>
        <w:rPr>
          <w:rFonts w:hint="default" w:ascii="TimesNewRoman" w:hAnsi="TimesNewRoman" w:eastAsia="仿宋_GB2312" w:cs="TimesNewRoman"/>
          <w:sz w:val="32"/>
          <w:szCs w:val="32"/>
        </w:rPr>
        <w:t>住房公积金、医疗。</w:t>
      </w:r>
    </w:p>
    <w:p w14:paraId="1B8A7F42">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eastAsia" w:ascii="TimesNewRoman" w:hAnsi="TimesNewRoman" w:eastAsia="仿宋_GB2312" w:cs="TimesNewRoman"/>
          <w:sz w:val="32"/>
          <w:szCs w:val="32"/>
          <w:lang w:eastAsia="zh-CN"/>
        </w:rPr>
      </w:pPr>
      <w:r>
        <w:rPr>
          <w:rFonts w:hint="default" w:ascii="TimesNewRoman" w:hAnsi="TimesNewRoman" w:eastAsia="仿宋_GB2312" w:cs="TimesNewRoman"/>
          <w:sz w:val="32"/>
          <w:szCs w:val="32"/>
        </w:rPr>
        <w:t>商品和服务支出</w:t>
      </w:r>
      <w:r>
        <w:rPr>
          <w:rFonts w:hint="eastAsia" w:ascii="TimesNewRoman" w:hAnsi="TimesNewRoman" w:eastAsia="仿宋_GB2312" w:cs="TimesNewRoman"/>
          <w:sz w:val="32"/>
          <w:szCs w:val="32"/>
          <w:lang w:val="en-US" w:eastAsia="zh-CN"/>
        </w:rPr>
        <w:t>3.39</w:t>
      </w:r>
      <w:r>
        <w:rPr>
          <w:rFonts w:hint="default" w:ascii="TimesNewRoman" w:hAnsi="TimesNewRoman" w:eastAsia="仿宋_GB2312" w:cs="TimesNewRoman"/>
          <w:sz w:val="32"/>
          <w:szCs w:val="32"/>
        </w:rPr>
        <w:t>万元，主要包括：办公费</w:t>
      </w:r>
      <w:r>
        <w:rPr>
          <w:rFonts w:hint="eastAsia" w:ascii="TimesNewRoman" w:hAnsi="TimesNewRoman" w:eastAsia="仿宋_GB2312" w:cs="TimesNewRoman"/>
          <w:sz w:val="32"/>
          <w:szCs w:val="32"/>
          <w:lang w:eastAsia="zh-CN"/>
        </w:rPr>
        <w:t>、</w:t>
      </w:r>
      <w:r>
        <w:rPr>
          <w:rFonts w:hint="default" w:ascii="TimesNewRoman" w:hAnsi="TimesNewRoman" w:eastAsia="仿宋_GB2312" w:cs="TimesNewRoman"/>
          <w:sz w:val="32"/>
          <w:szCs w:val="32"/>
        </w:rPr>
        <w:t>工会经费、福利费</w:t>
      </w:r>
      <w:r>
        <w:rPr>
          <w:rFonts w:hint="eastAsia" w:ascii="TimesNewRoman" w:hAnsi="TimesNewRoman" w:eastAsia="仿宋_GB2312" w:cs="TimesNewRoman"/>
          <w:sz w:val="32"/>
          <w:szCs w:val="32"/>
          <w:lang w:eastAsia="zh-CN"/>
        </w:rPr>
        <w:t>、</w:t>
      </w:r>
      <w:r>
        <w:rPr>
          <w:rFonts w:hint="default" w:ascii="TimesNewRoman" w:hAnsi="TimesNewRoman" w:eastAsia="仿宋_GB2312" w:cs="TimesNewRoman"/>
          <w:sz w:val="32"/>
          <w:szCs w:val="32"/>
        </w:rPr>
        <w:t>其他商品和服务支出。</w:t>
      </w:r>
    </w:p>
    <w:p w14:paraId="3F5C4EC3">
      <w:pPr>
        <w:pStyle w:val="7"/>
        <w:keepNext w:val="0"/>
        <w:keepLines w:val="0"/>
        <w:pageBreakBefore w:val="0"/>
        <w:kinsoku/>
        <w:overflowPunct/>
        <w:topLinePunct w:val="0"/>
        <w:autoSpaceDE/>
        <w:autoSpaceDN/>
        <w:bidi w:val="0"/>
        <w:adjustRightInd w:val="0"/>
        <w:snapToGrid w:val="0"/>
        <w:spacing w:line="560" w:lineRule="exact"/>
        <w:ind w:firstLine="664" w:firstLineChars="200"/>
        <w:rPr>
          <w:rFonts w:hint="default" w:ascii="TimesNewRoman" w:hAnsi="TimesNewRoman" w:eastAsia="楷体_GB2312" w:cs="TimesNewRoman"/>
          <w:color w:val="FF0000"/>
          <w:sz w:val="32"/>
          <w:szCs w:val="32"/>
        </w:rPr>
      </w:pPr>
      <w:r>
        <w:rPr>
          <w:rFonts w:hint="default" w:ascii="TimesNewRoman" w:hAnsi="TimesNewRoman" w:eastAsia="黑体" w:cs="TimesNewRoman"/>
          <w:sz w:val="32"/>
          <w:szCs w:val="32"/>
        </w:rPr>
        <w:t>七、关于</w:t>
      </w:r>
      <w:r>
        <w:rPr>
          <w:rFonts w:hint="default" w:ascii="TimesNewRoman" w:hAnsi="TimesNewRoman" w:eastAsia="黑体" w:cs="TimesNewRoman"/>
          <w:sz w:val="32"/>
          <w:szCs w:val="32"/>
          <w:lang w:val="en"/>
        </w:rPr>
        <w:t>2024</w:t>
      </w:r>
      <w:r>
        <w:rPr>
          <w:rFonts w:hint="default" w:ascii="TimesNewRoman" w:hAnsi="TimesNewRoman" w:eastAsia="黑体" w:cs="TimesNewRoman"/>
          <w:sz w:val="32"/>
          <w:szCs w:val="32"/>
        </w:rPr>
        <w:t>年政府性基金预算支出表的说明</w:t>
      </w:r>
    </w:p>
    <w:p w14:paraId="3F4DAAAD">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年没有政府性基金预算拨款收入，也没有使用政府性基金预算拨款安排的支出。</w:t>
      </w:r>
    </w:p>
    <w:p w14:paraId="2F1F9390">
      <w:pPr>
        <w:pStyle w:val="7"/>
        <w:keepNext w:val="0"/>
        <w:keepLines w:val="0"/>
        <w:pageBreakBefore w:val="0"/>
        <w:kinsoku/>
        <w:overflowPunct/>
        <w:topLinePunct w:val="0"/>
        <w:autoSpaceDE/>
        <w:autoSpaceDN/>
        <w:bidi w:val="0"/>
        <w:adjustRightInd w:val="0"/>
        <w:snapToGrid w:val="0"/>
        <w:spacing w:line="560" w:lineRule="exact"/>
        <w:ind w:firstLine="664" w:firstLineChars="200"/>
        <w:rPr>
          <w:rFonts w:hint="default" w:ascii="TimesNewRoman" w:hAnsi="TimesNewRoman" w:eastAsia="黑体" w:cs="TimesNewRoman"/>
          <w:sz w:val="32"/>
          <w:szCs w:val="32"/>
        </w:rPr>
      </w:pPr>
      <w:r>
        <w:rPr>
          <w:rFonts w:hint="default" w:ascii="TimesNewRoman" w:hAnsi="TimesNewRoman" w:eastAsia="黑体" w:cs="TimesNewRoman"/>
          <w:sz w:val="32"/>
          <w:szCs w:val="32"/>
        </w:rPr>
        <w:t>八、关于</w:t>
      </w:r>
      <w:r>
        <w:rPr>
          <w:rFonts w:hint="default" w:ascii="TimesNewRoman" w:hAnsi="TimesNewRoman" w:eastAsia="黑体" w:cs="TimesNewRoman"/>
          <w:sz w:val="32"/>
          <w:szCs w:val="32"/>
          <w:lang w:val="en"/>
        </w:rPr>
        <w:t>2024</w:t>
      </w:r>
      <w:r>
        <w:rPr>
          <w:rFonts w:hint="default" w:ascii="TimesNewRoman" w:hAnsi="TimesNewRoman" w:eastAsia="黑体" w:cs="TimesNewRoman"/>
          <w:sz w:val="32"/>
          <w:szCs w:val="32"/>
        </w:rPr>
        <w:t>年国有资本经营预算支出表的说明</w:t>
      </w:r>
    </w:p>
    <w:p w14:paraId="7C1FA2A1">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年没有国有资本经营预算拨款收入，也没有使用国有资本经营预算拨款安排的支出。</w:t>
      </w:r>
    </w:p>
    <w:p w14:paraId="72F579F6">
      <w:pPr>
        <w:pStyle w:val="7"/>
        <w:keepNext w:val="0"/>
        <w:keepLines w:val="0"/>
        <w:pageBreakBefore w:val="0"/>
        <w:kinsoku/>
        <w:overflowPunct/>
        <w:topLinePunct w:val="0"/>
        <w:autoSpaceDE/>
        <w:autoSpaceDN/>
        <w:bidi w:val="0"/>
        <w:adjustRightInd w:val="0"/>
        <w:snapToGrid w:val="0"/>
        <w:spacing w:line="560" w:lineRule="exact"/>
        <w:ind w:firstLine="664" w:firstLineChars="200"/>
        <w:rPr>
          <w:rFonts w:hint="default" w:ascii="TimesNewRoman" w:hAnsi="TimesNewRoman" w:eastAsia="黑体" w:cs="TimesNewRoman"/>
          <w:sz w:val="32"/>
          <w:szCs w:val="32"/>
        </w:rPr>
      </w:pPr>
      <w:r>
        <w:rPr>
          <w:rFonts w:hint="default" w:ascii="TimesNewRoman" w:hAnsi="TimesNewRoman" w:eastAsia="黑体" w:cs="TimesNewRoman"/>
          <w:sz w:val="32"/>
          <w:szCs w:val="32"/>
        </w:rPr>
        <w:t>九、关于</w:t>
      </w:r>
      <w:r>
        <w:rPr>
          <w:rFonts w:hint="default" w:ascii="TimesNewRoman" w:hAnsi="TimesNewRoman" w:eastAsia="黑体" w:cs="TimesNewRoman"/>
          <w:sz w:val="32"/>
          <w:szCs w:val="32"/>
          <w:lang w:val="en"/>
        </w:rPr>
        <w:t>2024</w:t>
      </w:r>
      <w:r>
        <w:rPr>
          <w:rFonts w:hint="default" w:ascii="TimesNewRoman" w:hAnsi="TimesNewRoman" w:eastAsia="黑体" w:cs="TimesNewRoman"/>
          <w:sz w:val="32"/>
          <w:szCs w:val="32"/>
        </w:rPr>
        <w:t>年项目支出表的说明</w:t>
      </w:r>
    </w:p>
    <w:p w14:paraId="5382900F">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年预算共安排项目支出</w:t>
      </w:r>
      <w:r>
        <w:rPr>
          <w:rFonts w:hint="eastAsia" w:ascii="TimesNewRoman" w:hAnsi="TimesNewRoman" w:eastAsia="仿宋_GB2312" w:cs="TimesNewRoman"/>
          <w:sz w:val="32"/>
          <w:szCs w:val="32"/>
          <w:lang w:val="en-US" w:eastAsia="zh-CN"/>
        </w:rPr>
        <w:t>4.75</w:t>
      </w:r>
      <w:r>
        <w:rPr>
          <w:rFonts w:hint="default" w:ascii="TimesNewRoman" w:hAnsi="TimesNewRoman" w:eastAsia="仿宋_GB2312" w:cs="TimesNewRoman"/>
          <w:sz w:val="32"/>
          <w:szCs w:val="32"/>
        </w:rPr>
        <w:t>万元，比</w:t>
      </w:r>
      <w:r>
        <w:rPr>
          <w:rFonts w:hint="eastAsia" w:ascii="TimesNewRoman" w:hAnsi="TimesNewRoman" w:eastAsia="仿宋_GB2312" w:cs="TimesNewRoman"/>
          <w:sz w:val="32"/>
          <w:szCs w:val="32"/>
          <w:lang w:eastAsia="zh-CN"/>
        </w:rPr>
        <w:t>2023</w:t>
      </w:r>
      <w:r>
        <w:rPr>
          <w:rFonts w:hint="default"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0.25</w:t>
      </w:r>
      <w:r>
        <w:rPr>
          <w:rFonts w:hint="default" w:ascii="TimesNewRoman" w:hAnsi="TimesNewRoman" w:eastAsia="仿宋_GB2312" w:cs="TimesNewRoman"/>
          <w:sz w:val="32"/>
          <w:szCs w:val="32"/>
        </w:rPr>
        <w:t>万元，下降原因主要是</w:t>
      </w:r>
      <w:r>
        <w:rPr>
          <w:rFonts w:hint="eastAsia" w:ascii="TimesNewRoman" w:hAnsi="TimesNewRoman" w:eastAsia="仿宋_GB2312" w:cs="TimesNewRoman"/>
          <w:sz w:val="32"/>
          <w:szCs w:val="32"/>
          <w:lang w:val="en-US" w:eastAsia="zh-CN"/>
        </w:rPr>
        <w:t>财政压减5.0%项目经费支出</w:t>
      </w:r>
      <w:r>
        <w:rPr>
          <w:rFonts w:hint="default" w:ascii="TimesNewRoman" w:hAnsi="TimesNewRoman" w:eastAsia="仿宋_GB2312" w:cs="TimesNewRoman"/>
          <w:sz w:val="32"/>
          <w:szCs w:val="32"/>
        </w:rPr>
        <w:t>。主要包括：本年财政拨款安排</w:t>
      </w:r>
      <w:r>
        <w:rPr>
          <w:rFonts w:hint="eastAsia" w:ascii="TimesNewRoman" w:hAnsi="TimesNewRoman" w:eastAsia="仿宋_GB2312" w:cs="TimesNewRoman"/>
          <w:sz w:val="32"/>
          <w:szCs w:val="32"/>
          <w:lang w:val="en-US" w:eastAsia="zh-CN"/>
        </w:rPr>
        <w:t>4.75</w:t>
      </w:r>
      <w:r>
        <w:rPr>
          <w:rFonts w:hint="default" w:ascii="TimesNewRoman" w:hAnsi="TimesNewRoman" w:eastAsia="仿宋_GB2312" w:cs="TimesNewRoman"/>
          <w:sz w:val="32"/>
          <w:szCs w:val="32"/>
        </w:rPr>
        <w:t>万元（其中，一般公共预算拨款安排</w:t>
      </w:r>
      <w:r>
        <w:rPr>
          <w:rFonts w:hint="eastAsia" w:ascii="TimesNewRoman" w:hAnsi="TimesNewRoman" w:eastAsia="仿宋_GB2312" w:cs="TimesNewRoman"/>
          <w:sz w:val="32"/>
          <w:szCs w:val="32"/>
          <w:lang w:val="en-US" w:eastAsia="zh-CN"/>
        </w:rPr>
        <w:t>4.75</w:t>
      </w:r>
      <w:r>
        <w:rPr>
          <w:rFonts w:hint="default" w:ascii="TimesNewRoman" w:hAnsi="TimesNewRoman" w:eastAsia="仿宋_GB2312" w:cs="TimesNewRoman"/>
          <w:sz w:val="32"/>
          <w:szCs w:val="32"/>
        </w:rPr>
        <w:t>万元，政府性基金预算拨款安排</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万元，国有资本经营预算拨款安排</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万元），财政拨款</w:t>
      </w:r>
      <w:r>
        <w:rPr>
          <w:rFonts w:hint="eastAsia" w:ascii="TimesNewRoman" w:hAnsi="TimesNewRoman" w:eastAsia="仿宋_GB2312" w:cs="TimesNewRoman"/>
          <w:sz w:val="32"/>
          <w:szCs w:val="32"/>
          <w:lang w:eastAsia="zh-CN"/>
        </w:rPr>
        <w:t>上年</w:t>
      </w:r>
      <w:r>
        <w:rPr>
          <w:rFonts w:hint="default" w:ascii="TimesNewRoman" w:hAnsi="TimesNewRoman" w:eastAsia="仿宋_GB2312" w:cs="TimesNewRoman"/>
          <w:sz w:val="32"/>
          <w:szCs w:val="32"/>
        </w:rPr>
        <w:t xml:space="preserve">结转安排 </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万元（其中，一般公共预算拨款安排</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万元，政府性基金预算拨款安排</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万元，国有资本经营预算拨款安排</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万元）、财政专户管理资金安排</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万元和单位资金安排</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万元。</w:t>
      </w:r>
    </w:p>
    <w:p w14:paraId="4F723274">
      <w:pPr>
        <w:pStyle w:val="7"/>
        <w:keepNext w:val="0"/>
        <w:keepLines w:val="0"/>
        <w:pageBreakBefore w:val="0"/>
        <w:kinsoku/>
        <w:overflowPunct/>
        <w:topLinePunct w:val="0"/>
        <w:autoSpaceDE/>
        <w:autoSpaceDN/>
        <w:bidi w:val="0"/>
        <w:adjustRightInd w:val="0"/>
        <w:snapToGrid w:val="0"/>
        <w:spacing w:line="560" w:lineRule="exact"/>
        <w:ind w:firstLine="664" w:firstLineChars="200"/>
        <w:rPr>
          <w:rFonts w:hint="default" w:ascii="TimesNewRoman" w:hAnsi="TimesNewRoman" w:eastAsia="黑体" w:cs="TimesNewRoman"/>
          <w:sz w:val="32"/>
          <w:szCs w:val="32"/>
        </w:rPr>
      </w:pPr>
      <w:r>
        <w:rPr>
          <w:rFonts w:hint="default" w:ascii="TimesNewRoman" w:hAnsi="TimesNewRoman" w:eastAsia="黑体" w:cs="TimesNewRoman"/>
          <w:sz w:val="32"/>
          <w:szCs w:val="32"/>
        </w:rPr>
        <w:t>十、关于</w:t>
      </w:r>
      <w:r>
        <w:rPr>
          <w:rFonts w:hint="default" w:ascii="TimesNewRoman" w:hAnsi="TimesNewRoman" w:eastAsia="黑体" w:cs="TimesNewRoman"/>
          <w:sz w:val="32"/>
          <w:szCs w:val="32"/>
          <w:lang w:val="en"/>
        </w:rPr>
        <w:t>2024</w:t>
      </w:r>
      <w:r>
        <w:rPr>
          <w:rFonts w:hint="default" w:ascii="TimesNewRoman" w:hAnsi="TimesNewRoman" w:eastAsia="黑体" w:cs="TimesNewRoman"/>
          <w:sz w:val="32"/>
          <w:szCs w:val="32"/>
        </w:rPr>
        <w:t>年政府采购支出表的说明</w:t>
      </w:r>
    </w:p>
    <w:p w14:paraId="18195C08">
      <w:pPr>
        <w:pStyle w:val="7"/>
        <w:keepNext w:val="0"/>
        <w:keepLines w:val="0"/>
        <w:pageBreakBefore w:val="0"/>
        <w:widowControl w:val="0"/>
        <w:kinsoku/>
        <w:wordWrap/>
        <w:overflowPunct/>
        <w:topLinePunct w:val="0"/>
        <w:autoSpaceDE/>
        <w:autoSpaceDN/>
        <w:bidi w:val="0"/>
        <w:adjustRightInd w:val="0"/>
        <w:snapToGrid w:val="0"/>
        <w:spacing w:line="560" w:lineRule="exact"/>
        <w:ind w:firstLine="650" w:firstLineChars="196"/>
        <w:textAlignment w:val="auto"/>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年没有使用一般公共预算拨款、政府性基金预算拨款、国有资本经营预算拨款、财政专户管理资金和单位资金安排的政府采购支出。</w:t>
      </w:r>
    </w:p>
    <w:p w14:paraId="34A3E0C7">
      <w:pPr>
        <w:pStyle w:val="7"/>
        <w:keepNext w:val="0"/>
        <w:keepLines w:val="0"/>
        <w:pageBreakBefore w:val="0"/>
        <w:kinsoku/>
        <w:overflowPunct/>
        <w:topLinePunct w:val="0"/>
        <w:autoSpaceDE/>
        <w:autoSpaceDN/>
        <w:bidi w:val="0"/>
        <w:adjustRightInd w:val="0"/>
        <w:snapToGrid w:val="0"/>
        <w:spacing w:line="560" w:lineRule="exact"/>
        <w:ind w:firstLine="664" w:firstLineChars="200"/>
        <w:rPr>
          <w:rFonts w:hint="default" w:ascii="TimesNewRoman" w:hAnsi="TimesNewRoman" w:eastAsia="楷体_GB2312" w:cs="TimesNewRoman"/>
          <w:color w:val="FF0000"/>
          <w:sz w:val="32"/>
          <w:szCs w:val="32"/>
        </w:rPr>
      </w:pPr>
      <w:r>
        <w:rPr>
          <w:rFonts w:hint="default" w:ascii="TimesNewRoman" w:hAnsi="TimesNewRoman" w:eastAsia="黑体" w:cs="TimesNewRoman"/>
          <w:sz w:val="32"/>
          <w:szCs w:val="32"/>
        </w:rPr>
        <w:t>十一、关于</w:t>
      </w:r>
      <w:r>
        <w:rPr>
          <w:rFonts w:hint="default" w:ascii="TimesNewRoman" w:hAnsi="TimesNewRoman" w:eastAsia="黑体" w:cs="TimesNewRoman"/>
          <w:sz w:val="32"/>
          <w:szCs w:val="32"/>
          <w:lang w:val="en"/>
        </w:rPr>
        <w:t>2024</w:t>
      </w:r>
      <w:r>
        <w:rPr>
          <w:rFonts w:hint="default" w:ascii="TimesNewRoman" w:hAnsi="TimesNewRoman" w:eastAsia="黑体" w:cs="TimesNewRoman"/>
          <w:sz w:val="32"/>
          <w:szCs w:val="32"/>
        </w:rPr>
        <w:t>年政府购买服务支出表的说明</w:t>
      </w:r>
    </w:p>
    <w:p w14:paraId="39EF6466">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年没有安排政府购买服务支出。</w:t>
      </w:r>
    </w:p>
    <w:p w14:paraId="4CC2AF3B">
      <w:pPr>
        <w:pStyle w:val="7"/>
        <w:keepNext w:val="0"/>
        <w:keepLines w:val="0"/>
        <w:pageBreakBefore w:val="0"/>
        <w:numPr>
          <w:ilvl w:val="0"/>
          <w:numId w:val="2"/>
        </w:numPr>
        <w:kinsoku/>
        <w:overflowPunct/>
        <w:topLinePunct w:val="0"/>
        <w:autoSpaceDE/>
        <w:autoSpaceDN/>
        <w:bidi w:val="0"/>
        <w:adjustRightInd w:val="0"/>
        <w:snapToGrid w:val="0"/>
        <w:spacing w:line="560" w:lineRule="exact"/>
        <w:ind w:firstLine="664"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关于2024年“三公”经费预算情况说明</w:t>
      </w:r>
    </w:p>
    <w:p w14:paraId="103A5707">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default" w:ascii="TimesNewRoman" w:hAnsi="TimesNewRoman" w:eastAsia="仿宋_GB2312" w:cs="TimesNewRoman"/>
          <w:sz w:val="32"/>
          <w:szCs w:val="32"/>
        </w:rPr>
        <w:t>为全面反映“</w:t>
      </w:r>
      <w:r>
        <w:rPr>
          <w:rFonts w:hint="eastAsia" w:ascii="TimesNewRoman" w:hAnsi="TimesNewRoman" w:eastAsia="仿宋_GB2312" w:cs="TimesNewRoman"/>
          <w:sz w:val="32"/>
          <w:szCs w:val="32"/>
        </w:rPr>
        <w:t>三公</w:t>
      </w:r>
      <w:r>
        <w:rPr>
          <w:rFonts w:hint="default" w:ascii="TimesNewRoman" w:hAnsi="TimesNewRoman" w:eastAsia="仿宋_GB2312" w:cs="TimesNewRoman"/>
          <w:sz w:val="32"/>
          <w:szCs w:val="32"/>
        </w:rPr>
        <w:t>”</w:t>
      </w:r>
      <w:r>
        <w:rPr>
          <w:rFonts w:hint="eastAsia" w:ascii="TimesNewRoman" w:hAnsi="TimesNewRoman" w:eastAsia="仿宋_GB2312" w:cs="TimesNewRoman"/>
          <w:sz w:val="32"/>
          <w:szCs w:val="32"/>
        </w:rPr>
        <w:t>经费支出，本次公开的</w:t>
      </w:r>
      <w:r>
        <w:rPr>
          <w:rFonts w:hint="default" w:ascii="TimesNewRoman" w:hAnsi="TimesNewRoman" w:eastAsia="仿宋_GB2312" w:cs="TimesNewRoman"/>
          <w:sz w:val="32"/>
          <w:szCs w:val="32"/>
        </w:rPr>
        <w:t>“</w:t>
      </w:r>
      <w:r>
        <w:rPr>
          <w:rFonts w:hint="eastAsia" w:ascii="TimesNewRoman" w:hAnsi="TimesNewRoman" w:eastAsia="仿宋_GB2312" w:cs="TimesNewRoman"/>
          <w:sz w:val="32"/>
          <w:szCs w:val="32"/>
        </w:rPr>
        <w:t>三公</w:t>
      </w:r>
      <w:r>
        <w:rPr>
          <w:rFonts w:hint="default" w:ascii="TimesNewRoman" w:hAnsi="TimesNewRoman" w:eastAsia="仿宋_GB2312" w:cs="TimesNewRoman"/>
          <w:sz w:val="32"/>
          <w:szCs w:val="32"/>
        </w:rPr>
        <w:t>”</w:t>
      </w:r>
      <w:r>
        <w:rPr>
          <w:rFonts w:hint="eastAsia" w:ascii="TimesNewRoman" w:hAnsi="TimesNewRoman" w:eastAsia="仿宋_GB2312" w:cs="TimesNewRoman"/>
          <w:sz w:val="32"/>
          <w:szCs w:val="32"/>
        </w:rPr>
        <w:t>经费预算为黄山市人大预算联网监督中心汇总数。</w:t>
      </w:r>
      <w:r>
        <w:rPr>
          <w:rFonts w:hint="default"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4</w:t>
      </w:r>
      <w:r>
        <w:rPr>
          <w:rFonts w:hint="eastAsia" w:ascii="TimesNewRoman" w:hAnsi="TimesNewRoman" w:eastAsia="仿宋_GB2312" w:cs="TimesNewRoman"/>
          <w:sz w:val="32"/>
          <w:szCs w:val="32"/>
        </w:rPr>
        <w:t>年，黄山市人大预算联网监督中心</w:t>
      </w:r>
      <w:r>
        <w:rPr>
          <w:rFonts w:hint="default" w:ascii="TimesNewRoman" w:hAnsi="TimesNewRoman" w:eastAsia="仿宋_GB2312" w:cs="TimesNewRoman"/>
          <w:sz w:val="32"/>
          <w:szCs w:val="32"/>
        </w:rPr>
        <w:t>“</w:t>
      </w:r>
      <w:r>
        <w:rPr>
          <w:rFonts w:hint="eastAsia" w:ascii="TimesNewRoman" w:hAnsi="TimesNewRoman" w:eastAsia="仿宋_GB2312" w:cs="TimesNewRoman"/>
          <w:sz w:val="32"/>
          <w:szCs w:val="32"/>
        </w:rPr>
        <w:t>三公</w:t>
      </w:r>
      <w:r>
        <w:rPr>
          <w:rFonts w:hint="default" w:ascii="TimesNewRoman" w:hAnsi="TimesNewRoman" w:eastAsia="仿宋_GB2312" w:cs="TimesNewRoman"/>
          <w:sz w:val="32"/>
          <w:szCs w:val="32"/>
        </w:rPr>
        <w:t>”</w:t>
      </w:r>
      <w:r>
        <w:rPr>
          <w:rFonts w:hint="eastAsia" w:ascii="TimesNewRoman" w:hAnsi="TimesNewRoman" w:eastAsia="仿宋_GB2312" w:cs="TimesNewRoman"/>
          <w:sz w:val="32"/>
          <w:szCs w:val="32"/>
        </w:rPr>
        <w:t>经费支出预算</w:t>
      </w:r>
      <w:r>
        <w:rPr>
          <w:rFonts w:hint="default" w:ascii="TimesNewRoman" w:hAnsi="TimesNewRoman" w:eastAsia="仿宋_GB2312" w:cs="TimesNewRoman"/>
          <w:sz w:val="32"/>
          <w:szCs w:val="32"/>
        </w:rPr>
        <w:t>0</w:t>
      </w:r>
      <w:r>
        <w:rPr>
          <w:rFonts w:hint="eastAsia" w:ascii="TimesNewRoman" w:hAnsi="TimesNewRoman" w:eastAsia="仿宋_GB2312" w:cs="TimesNewRoman"/>
          <w:sz w:val="32"/>
          <w:szCs w:val="32"/>
        </w:rPr>
        <w:t>万元。其中因公出国（境）费0万元，公务接待费0万元，公务用车购置及运行费</w:t>
      </w:r>
      <w:r>
        <w:rPr>
          <w:rFonts w:hint="default" w:ascii="TimesNewRoman" w:hAnsi="TimesNewRoman" w:eastAsia="仿宋_GB2312" w:cs="TimesNewRoman"/>
          <w:sz w:val="32"/>
          <w:szCs w:val="32"/>
        </w:rPr>
        <w:t>0</w:t>
      </w:r>
      <w:r>
        <w:rPr>
          <w:rFonts w:hint="eastAsia" w:ascii="TimesNewRoman" w:hAnsi="TimesNewRoman" w:eastAsia="仿宋_GB2312" w:cs="TimesNewRoman"/>
          <w:sz w:val="32"/>
          <w:szCs w:val="32"/>
        </w:rPr>
        <w:t>万元。具体情况如下：</w:t>
      </w:r>
    </w:p>
    <w:p w14:paraId="551CD5F0">
      <w:pPr>
        <w:pStyle w:val="17"/>
        <w:ind w:firstLine="643"/>
        <w:rPr>
          <w:rFonts w:hint="default" w:ascii="TimesNewRoman" w:hAnsi="TimesNewRoman" w:eastAsia="仿宋_GB2312" w:cs="TimesNewRoman"/>
          <w:kern w:val="2"/>
          <w:sz w:val="32"/>
          <w:szCs w:val="32"/>
          <w:lang w:val="en-US" w:eastAsia="zh-CN" w:bidi="ar-SA"/>
        </w:rPr>
      </w:pPr>
      <w:r>
        <w:rPr>
          <w:b/>
          <w:bCs/>
        </w:rPr>
        <w:t>因公出国（境）费</w:t>
      </w:r>
      <w:r>
        <w:t>。</w:t>
      </w:r>
      <w:r>
        <w:rPr>
          <w:rFonts w:hint="default" w:ascii="TimesNewRoman" w:hAnsi="TimesNewRoman" w:eastAsia="仿宋_GB2312" w:cs="TimesNewRoman"/>
          <w:kern w:val="2"/>
          <w:sz w:val="32"/>
          <w:szCs w:val="32"/>
          <w:lang w:val="en-US" w:eastAsia="zh-CN" w:bidi="ar-SA"/>
        </w:rPr>
        <w:t>支出预算</w:t>
      </w:r>
      <w:r>
        <w:rPr>
          <w:rFonts w:hint="eastAsia" w:ascii="TimesNewRoman" w:hAnsi="TimesNewRoman" w:eastAsia="仿宋_GB2312" w:cs="TimesNewRoman"/>
          <w:kern w:val="2"/>
          <w:sz w:val="32"/>
          <w:szCs w:val="32"/>
          <w:lang w:val="en-US" w:eastAsia="zh-CN" w:bidi="ar-SA"/>
        </w:rPr>
        <w:t>0</w:t>
      </w:r>
      <w:r>
        <w:rPr>
          <w:rFonts w:hint="default" w:ascii="TimesNewRoman" w:hAnsi="TimesNewRoman" w:eastAsia="仿宋_GB2312" w:cs="TimesNewRoman"/>
          <w:kern w:val="2"/>
          <w:sz w:val="32"/>
          <w:szCs w:val="32"/>
          <w:lang w:val="en-US" w:eastAsia="zh-CN" w:bidi="ar-SA"/>
        </w:rPr>
        <w:t>万元</w:t>
      </w:r>
      <w:r>
        <w:rPr>
          <w:rFonts w:hint="eastAsia" w:ascii="TimesNewRoman" w:hAnsi="TimesNewRoman" w:eastAsia="仿宋_GB2312" w:cs="TimesNewRoman"/>
          <w:kern w:val="2"/>
          <w:sz w:val="32"/>
          <w:szCs w:val="32"/>
          <w:lang w:val="en-US" w:eastAsia="zh-CN" w:bidi="ar-SA"/>
        </w:rPr>
        <w:t>。与</w:t>
      </w:r>
      <w:r>
        <w:rPr>
          <w:rFonts w:hint="default" w:ascii="TimesNewRoman" w:hAnsi="TimesNewRoman" w:eastAsia="仿宋_GB2312" w:cs="TimesNewRoman"/>
          <w:kern w:val="2"/>
          <w:sz w:val="32"/>
          <w:szCs w:val="32"/>
          <w:lang w:val="en" w:eastAsia="zh-CN" w:bidi="ar-SA"/>
        </w:rPr>
        <w:t>2023</w:t>
      </w:r>
      <w:r>
        <w:rPr>
          <w:rFonts w:hint="eastAsia" w:ascii="TimesNewRoman" w:hAnsi="TimesNewRoman" w:eastAsia="仿宋_GB2312" w:cs="TimesNewRoman"/>
          <w:kern w:val="2"/>
          <w:sz w:val="32"/>
          <w:szCs w:val="32"/>
          <w:lang w:val="en-US" w:eastAsia="zh-CN" w:bidi="ar-SA"/>
        </w:rPr>
        <w:t>年预算持平。持平原因是单位没有因公出国（境）业务。</w:t>
      </w:r>
      <w:r>
        <w:rPr>
          <w:rFonts w:hint="default" w:ascii="TimesNewRoman" w:hAnsi="TimesNewRoman" w:eastAsia="仿宋_GB2312" w:cs="TimesNewRoman"/>
          <w:kern w:val="2"/>
          <w:sz w:val="32"/>
          <w:szCs w:val="32"/>
          <w:lang w:val="en-US" w:eastAsia="zh-CN" w:bidi="ar-SA"/>
        </w:rPr>
        <w:t xml:space="preserve">经费使用严格执行《黄山市市直党政机关因公临时出国经费管理办法》相关规定。需要说明的是，该项经费根据外办批准的因公临时出国（境）计划，年初预算统一安排到市外办，不安排到部门，由市外办统筹安排并由市外办集中公开。 </w:t>
      </w:r>
    </w:p>
    <w:p w14:paraId="53858B2C">
      <w:pPr>
        <w:pStyle w:val="17"/>
        <w:ind w:firstLine="643"/>
        <w:rPr>
          <w:rFonts w:hint="eastAsia" w:ascii="TimesNewRoman" w:hAnsi="TimesNewRoman" w:eastAsia="仿宋_GB2312" w:cs="TimesNewRoman"/>
          <w:kern w:val="2"/>
          <w:sz w:val="32"/>
          <w:szCs w:val="32"/>
          <w:lang w:val="en-US" w:eastAsia="zh-CN" w:bidi="ar-SA"/>
        </w:rPr>
      </w:pPr>
      <w:r>
        <w:rPr>
          <w:b/>
          <w:bCs/>
        </w:rPr>
        <w:t>公务用车购置及运行费。</w:t>
      </w:r>
      <w:r>
        <w:rPr>
          <w:rFonts w:hint="default" w:ascii="TimesNewRoman" w:hAnsi="TimesNewRoman" w:eastAsia="仿宋_GB2312" w:cs="TimesNewRoman"/>
          <w:kern w:val="2"/>
          <w:sz w:val="32"/>
          <w:szCs w:val="32"/>
          <w:lang w:val="en-US" w:eastAsia="zh-CN" w:bidi="ar-SA"/>
        </w:rPr>
        <w:t>支出预算</w:t>
      </w:r>
      <w:r>
        <w:rPr>
          <w:rFonts w:hint="eastAsia" w:ascii="TimesNewRoman" w:hAnsi="TimesNewRoman" w:eastAsia="仿宋_GB2312" w:cs="TimesNewRoman"/>
          <w:kern w:val="2"/>
          <w:sz w:val="32"/>
          <w:szCs w:val="32"/>
          <w:lang w:val="en-US" w:eastAsia="zh-CN" w:bidi="ar-SA"/>
        </w:rPr>
        <w:t>0</w:t>
      </w:r>
      <w:r>
        <w:rPr>
          <w:rFonts w:hint="default" w:ascii="TimesNewRoman" w:hAnsi="TimesNewRoman" w:eastAsia="仿宋_GB2312" w:cs="TimesNewRoman"/>
          <w:kern w:val="2"/>
          <w:sz w:val="32"/>
          <w:szCs w:val="32"/>
          <w:lang w:val="en-US" w:eastAsia="zh-CN" w:bidi="ar-SA"/>
        </w:rPr>
        <w:t>万元</w:t>
      </w:r>
      <w:r>
        <w:rPr>
          <w:rFonts w:hint="eastAsia" w:ascii="TimesNewRoman" w:hAnsi="TimesNewRoman" w:eastAsia="仿宋_GB2312" w:cs="TimesNewRoman"/>
          <w:kern w:val="2"/>
          <w:sz w:val="32"/>
          <w:szCs w:val="32"/>
          <w:lang w:val="en-US" w:eastAsia="zh-CN" w:bidi="ar-SA"/>
        </w:rPr>
        <w:t>，与 2023 年预算持平。</w:t>
      </w:r>
      <w:r>
        <w:rPr>
          <w:rFonts w:hint="default" w:ascii="TimesNewRoman" w:hAnsi="TimesNewRoman" w:eastAsia="仿宋_GB2312" w:cs="TimesNewRoman"/>
          <w:kern w:val="2"/>
          <w:sz w:val="32"/>
          <w:szCs w:val="32"/>
          <w:lang w:val="en-US" w:eastAsia="zh-CN" w:bidi="ar-SA"/>
        </w:rPr>
        <w:t>其中：公务用车运行费</w:t>
      </w:r>
      <w:r>
        <w:rPr>
          <w:rFonts w:hint="eastAsia" w:ascii="TimesNewRoman" w:hAnsi="TimesNewRoman" w:eastAsia="仿宋_GB2312" w:cs="TimesNewRoman"/>
          <w:kern w:val="2"/>
          <w:sz w:val="32"/>
          <w:szCs w:val="32"/>
          <w:lang w:val="en-US" w:eastAsia="zh-CN" w:bidi="ar-SA"/>
        </w:rPr>
        <w:t>0</w:t>
      </w:r>
      <w:r>
        <w:rPr>
          <w:rFonts w:hint="default" w:ascii="TimesNewRoman" w:hAnsi="TimesNewRoman" w:eastAsia="仿宋_GB2312" w:cs="TimesNewRoman"/>
          <w:kern w:val="2"/>
          <w:sz w:val="32"/>
          <w:szCs w:val="32"/>
          <w:lang w:val="en-US" w:eastAsia="zh-CN" w:bidi="ar-SA"/>
        </w:rPr>
        <w:t>万元</w:t>
      </w:r>
      <w:r>
        <w:rPr>
          <w:rFonts w:hint="eastAsia" w:ascii="TimesNewRoman" w:hAnsi="TimesNewRoman" w:eastAsia="仿宋_GB2312" w:cs="TimesNewRoman"/>
          <w:kern w:val="2"/>
          <w:sz w:val="32"/>
          <w:szCs w:val="32"/>
          <w:lang w:val="en-US" w:eastAsia="zh-CN" w:bidi="ar-SA"/>
        </w:rPr>
        <w:t>，与2023年预算持平，持平原因主要是单位没有公务用车</w:t>
      </w:r>
      <w:r>
        <w:rPr>
          <w:rFonts w:hint="default" w:ascii="TimesNewRoman" w:hAnsi="TimesNewRoman" w:eastAsia="仿宋_GB2312" w:cs="TimesNewRoman"/>
          <w:kern w:val="2"/>
          <w:sz w:val="32"/>
          <w:szCs w:val="32"/>
          <w:lang w:val="en-US" w:eastAsia="zh-CN" w:bidi="ar-SA"/>
        </w:rPr>
        <w:t>；</w:t>
      </w:r>
      <w:r>
        <w:rPr>
          <w:rFonts w:hint="eastAsia" w:ascii="TimesNewRoman" w:hAnsi="TimesNewRoman" w:eastAsia="仿宋_GB2312" w:cs="TimesNewRoman"/>
          <w:kern w:val="2"/>
          <w:sz w:val="32"/>
          <w:szCs w:val="32"/>
          <w:lang w:val="en-US" w:eastAsia="zh-CN" w:bidi="ar-SA"/>
        </w:rPr>
        <w:t>公务用车购置费0万元，与2023年预算持平，持平原因主要是单位没有公务用车购置需求。经费使用</w:t>
      </w:r>
      <w:r>
        <w:rPr>
          <w:rFonts w:hint="default" w:ascii="TimesNewRoman" w:hAnsi="TimesNewRoman" w:eastAsia="仿宋_GB2312" w:cs="TimesNewRoman"/>
          <w:kern w:val="2"/>
          <w:sz w:val="32"/>
          <w:szCs w:val="32"/>
          <w:lang w:val="en-US" w:eastAsia="zh-CN" w:bidi="ar-SA"/>
        </w:rPr>
        <w:t>严格按照中央、省和市有关公务用车配备使用管理制度执行。</w:t>
      </w:r>
    </w:p>
    <w:p w14:paraId="61A92D9B">
      <w:pPr>
        <w:pStyle w:val="17"/>
        <w:ind w:firstLine="643"/>
        <w:rPr>
          <w:rFonts w:hint="default" w:ascii="TimesNewRoman" w:hAnsi="TimesNewRoman" w:eastAsia="仿宋_GB2312" w:cs="TimesNewRoman"/>
          <w:kern w:val="2"/>
          <w:sz w:val="32"/>
          <w:szCs w:val="32"/>
          <w:lang w:val="en-US" w:eastAsia="zh-CN" w:bidi="ar-SA"/>
        </w:rPr>
      </w:pPr>
      <w:r>
        <w:rPr>
          <w:b/>
          <w:bCs/>
        </w:rPr>
        <w:t>公务接待费支出</w:t>
      </w:r>
      <w:r>
        <w:rPr>
          <w:rFonts w:hint="eastAsia" w:ascii="仿宋" w:hAnsi="仿宋" w:eastAsia="仿宋"/>
          <w:lang w:val="en-US" w:eastAsia="zh-CN"/>
        </w:rPr>
        <w:t>0</w:t>
      </w:r>
      <w:r>
        <w:rPr>
          <w:b/>
          <w:bCs/>
        </w:rPr>
        <w:t>万元。</w:t>
      </w:r>
      <w:r>
        <w:rPr>
          <w:rFonts w:hint="default" w:ascii="TimesNewRoman" w:hAnsi="TimesNewRoman" w:eastAsia="仿宋_GB2312" w:cs="TimesNewRoman"/>
          <w:kern w:val="2"/>
          <w:sz w:val="32"/>
          <w:szCs w:val="32"/>
          <w:lang w:val="en-US" w:eastAsia="zh-CN" w:bidi="ar-SA"/>
        </w:rPr>
        <w:t>支出预算</w:t>
      </w:r>
      <w:r>
        <w:rPr>
          <w:rFonts w:hint="eastAsia" w:ascii="TimesNewRoman" w:hAnsi="TimesNewRoman" w:eastAsia="仿宋_GB2312" w:cs="TimesNewRoman"/>
          <w:kern w:val="2"/>
          <w:sz w:val="32"/>
          <w:szCs w:val="32"/>
          <w:lang w:val="en-US" w:eastAsia="zh-CN" w:bidi="ar-SA"/>
        </w:rPr>
        <w:t>0</w:t>
      </w:r>
      <w:r>
        <w:rPr>
          <w:rFonts w:hint="default" w:ascii="TimesNewRoman" w:hAnsi="TimesNewRoman" w:eastAsia="仿宋_GB2312" w:cs="TimesNewRoman"/>
          <w:kern w:val="2"/>
          <w:sz w:val="32"/>
          <w:szCs w:val="32"/>
          <w:lang w:val="en-US" w:eastAsia="zh-CN" w:bidi="ar-SA"/>
        </w:rPr>
        <w:t>万元</w:t>
      </w:r>
      <w:r>
        <w:rPr>
          <w:rFonts w:hint="eastAsia" w:ascii="TimesNewRoman" w:hAnsi="TimesNewRoman" w:eastAsia="仿宋_GB2312" w:cs="TimesNewRoman"/>
          <w:kern w:val="2"/>
          <w:sz w:val="32"/>
          <w:szCs w:val="32"/>
          <w:lang w:val="en-US" w:eastAsia="zh-CN" w:bidi="ar-SA"/>
        </w:rPr>
        <w:t>，与2023年预算持平，持平原因主要是单位没有公务接待业务发生。</w:t>
      </w:r>
      <w:r>
        <w:rPr>
          <w:rFonts w:hint="default" w:ascii="TimesNewRoman" w:hAnsi="TimesNewRoman" w:eastAsia="仿宋_GB2312" w:cs="TimesNewRoman"/>
          <w:kern w:val="2"/>
          <w:sz w:val="32"/>
          <w:szCs w:val="32"/>
          <w:lang w:val="en-US" w:eastAsia="zh-CN" w:bidi="ar-SA"/>
        </w:rPr>
        <w:t>经费使用安排积极贯彻落实中央八项规定,严格执行《党政机关厉行节约反对浪费条例》和《黄山市市直机关公务接待费管理暂行办法》等相关规定</w:t>
      </w:r>
      <w:r>
        <w:rPr>
          <w:rFonts w:hint="eastAsia" w:ascii="TimesNewRoman" w:hAnsi="TimesNewRoman" w:eastAsia="仿宋_GB2312" w:cs="TimesNewRoman"/>
          <w:kern w:val="2"/>
          <w:sz w:val="32"/>
          <w:szCs w:val="32"/>
          <w:lang w:val="en-US" w:eastAsia="zh-CN" w:bidi="ar-SA"/>
        </w:rPr>
        <w:t>。</w:t>
      </w:r>
    </w:p>
    <w:p w14:paraId="6DADAF7A">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ascii="黑体" w:hAnsi="黑体" w:eastAsia="黑体" w:cs="Times New Roman"/>
          <w:sz w:val="32"/>
          <w:szCs w:val="32"/>
        </w:rPr>
      </w:pPr>
      <w:r>
        <w:rPr>
          <w:rFonts w:ascii="黑体" w:hAnsi="黑体" w:eastAsia="黑体" w:cs="Times New Roman"/>
          <w:sz w:val="32"/>
          <w:szCs w:val="32"/>
        </w:rPr>
        <w:t>十三、其他重要事项情况说明</w:t>
      </w:r>
    </w:p>
    <w:p w14:paraId="2E4E815B">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楷体_GB2312" w:cs="TimesNewRoman"/>
          <w:b/>
          <w:sz w:val="32"/>
          <w:szCs w:val="32"/>
          <w:lang w:val="en-US" w:eastAsia="zh-CN"/>
        </w:rPr>
      </w:pPr>
      <w:r>
        <w:rPr>
          <w:rFonts w:hint="eastAsia" w:ascii="TimesNewRoman" w:hAnsi="TimesNewRoman" w:eastAsia="楷体_GB2312" w:cs="TimesNewRoman"/>
          <w:b/>
          <w:sz w:val="32"/>
          <w:szCs w:val="32"/>
          <w:lang w:val="en-US" w:eastAsia="zh-CN"/>
        </w:rPr>
        <w:t>（一）项目及绩效目标情况。</w:t>
      </w:r>
    </w:p>
    <w:p w14:paraId="13359FB0">
      <w:pPr>
        <w:keepNext w:val="0"/>
        <w:keepLines w:val="0"/>
        <w:pageBreakBefore w:val="0"/>
        <w:kinsoku/>
        <w:overflowPunct/>
        <w:topLinePunct w:val="0"/>
        <w:autoSpaceDE/>
        <w:autoSpaceDN/>
        <w:bidi w:val="0"/>
        <w:adjustRightInd w:val="0"/>
        <w:snapToGrid w:val="0"/>
        <w:spacing w:line="560" w:lineRule="exact"/>
        <w:ind w:firstLine="664" w:firstLineChars="200"/>
        <w:rPr>
          <w:rFonts w:hint="eastAsia" w:ascii="TimesNewRoman" w:hAnsi="TimesNewRoman" w:eastAsia="仿宋_GB2312" w:cs="TimesNewRoman"/>
          <w:b/>
          <w:bCs/>
          <w:kern w:val="2"/>
          <w:sz w:val="32"/>
          <w:szCs w:val="32"/>
          <w:lang w:val="en-US" w:eastAsia="zh-CN" w:bidi="ar-SA"/>
        </w:rPr>
      </w:pPr>
      <w:r>
        <w:rPr>
          <w:rFonts w:hint="default" w:ascii="TimesNewRoman" w:hAnsi="TimesNewRoman" w:eastAsia="仿宋_GB2312" w:cs="TimesNewRoman"/>
          <w:b/>
          <w:bCs/>
          <w:kern w:val="2"/>
          <w:sz w:val="32"/>
          <w:szCs w:val="32"/>
          <w:lang w:val="en-US" w:eastAsia="zh-CN" w:bidi="ar-SA"/>
        </w:rPr>
        <w:t>1.</w:t>
      </w:r>
      <w:r>
        <w:rPr>
          <w:rFonts w:hint="eastAsia" w:ascii="TimesNewRoman" w:hAnsi="TimesNewRoman" w:eastAsia="仿宋_GB2312" w:cs="TimesNewRoman"/>
          <w:b/>
          <w:bCs/>
          <w:kern w:val="2"/>
          <w:sz w:val="32"/>
          <w:szCs w:val="32"/>
          <w:lang w:val="en-US" w:eastAsia="zh-CN" w:bidi="ar-SA"/>
        </w:rPr>
        <w:t>“综合工作经费”项目。</w:t>
      </w:r>
    </w:p>
    <w:p w14:paraId="0D65FE54">
      <w:pPr>
        <w:adjustRightInd w:val="0"/>
        <w:snapToGrid w:val="0"/>
        <w:spacing w:line="580" w:lineRule="exact"/>
        <w:ind w:firstLine="664"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）项目概述。</w:t>
      </w:r>
    </w:p>
    <w:p w14:paraId="614D55BF">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eastAsia" w:ascii="TimesNewRoman" w:hAnsi="TimesNewRoman" w:eastAsia="仿宋_GB2312" w:cs="TimesNewRoman"/>
          <w:sz w:val="32"/>
          <w:szCs w:val="32"/>
          <w:lang w:val="en-US" w:eastAsia="zh-CN"/>
        </w:rPr>
      </w:pPr>
      <w:r>
        <w:rPr>
          <w:rFonts w:hint="eastAsia" w:ascii="TimesNewRoman" w:hAnsi="TimesNewRoman" w:eastAsia="仿宋_GB2312" w:cs="TimesNewRoman"/>
          <w:sz w:val="32"/>
          <w:szCs w:val="32"/>
          <w:lang w:val="en-US" w:eastAsia="zh-CN"/>
        </w:rPr>
        <w:t>黄山市人大预算联网监督中心综合工作经费主要为办公经费，保障单位进一步提高工作质量和效率。</w:t>
      </w:r>
    </w:p>
    <w:p w14:paraId="02EC4BB5">
      <w:pPr>
        <w:numPr>
          <w:ilvl w:val="0"/>
          <w:numId w:val="3"/>
        </w:numPr>
        <w:adjustRightInd w:val="0"/>
        <w:snapToGrid w:val="0"/>
        <w:spacing w:line="580" w:lineRule="exact"/>
        <w:ind w:firstLine="664"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立项依据。</w:t>
      </w:r>
    </w:p>
    <w:p w14:paraId="2F25DECC">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根据黄山市人大预算联网监督中心</w:t>
      </w:r>
      <w:r>
        <w:rPr>
          <w:rFonts w:hint="eastAsia" w:ascii="TimesNewRoman" w:hAnsi="TimesNewRoman" w:eastAsia="仿宋_GB2312" w:cs="TimesNewRoman"/>
          <w:sz w:val="32"/>
          <w:szCs w:val="32"/>
          <w:lang w:val="en-US" w:eastAsia="zh-CN"/>
        </w:rPr>
        <w:t>工作</w:t>
      </w:r>
      <w:r>
        <w:rPr>
          <w:rFonts w:hint="default" w:ascii="TimesNewRoman" w:hAnsi="TimesNewRoman" w:eastAsia="仿宋_GB2312" w:cs="TimesNewRoman"/>
          <w:sz w:val="32"/>
          <w:szCs w:val="32"/>
          <w:lang w:val="en-US" w:eastAsia="zh-CN"/>
        </w:rPr>
        <w:t>职责</w:t>
      </w:r>
      <w:r>
        <w:rPr>
          <w:rFonts w:hint="eastAsia" w:ascii="TimesNewRoman" w:hAnsi="TimesNewRoman" w:eastAsia="仿宋_GB2312" w:cs="TimesNewRoman"/>
          <w:sz w:val="32"/>
          <w:szCs w:val="32"/>
          <w:lang w:val="en-US" w:eastAsia="zh-CN"/>
        </w:rPr>
        <w:t>，为保障积极履行职责，</w:t>
      </w:r>
      <w:r>
        <w:rPr>
          <w:rFonts w:hint="default" w:ascii="TimesNewRoman" w:hAnsi="TimesNewRoman" w:eastAsia="仿宋_GB2312" w:cs="TimesNewRoman"/>
          <w:sz w:val="32"/>
          <w:szCs w:val="32"/>
          <w:lang w:val="en-US" w:eastAsia="zh-CN"/>
        </w:rPr>
        <w:t>设立该项目</w:t>
      </w:r>
      <w:r>
        <w:rPr>
          <w:rFonts w:hint="eastAsia" w:ascii="TimesNewRoman" w:hAnsi="TimesNewRoman" w:eastAsia="仿宋_GB2312" w:cs="TimesNewRoman"/>
          <w:sz w:val="32"/>
          <w:szCs w:val="32"/>
          <w:lang w:val="en-US" w:eastAsia="zh-CN"/>
        </w:rPr>
        <w:t>。</w:t>
      </w:r>
    </w:p>
    <w:p w14:paraId="14B57EA6">
      <w:pPr>
        <w:numPr>
          <w:ilvl w:val="0"/>
          <w:numId w:val="3"/>
        </w:numPr>
        <w:adjustRightInd w:val="0"/>
        <w:snapToGrid w:val="0"/>
        <w:spacing w:line="580" w:lineRule="exact"/>
        <w:ind w:left="0" w:leftChars="0" w:firstLine="664"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实施主体。</w:t>
      </w:r>
    </w:p>
    <w:p w14:paraId="5085F807">
      <w:pPr>
        <w:numPr>
          <w:ilvl w:val="0"/>
          <w:numId w:val="0"/>
        </w:numPr>
        <w:adjustRightInd w:val="0"/>
        <w:snapToGrid w:val="0"/>
        <w:spacing w:line="580" w:lineRule="exact"/>
        <w:ind w:left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黄山市人大预算联网监督中心</w:t>
      </w:r>
    </w:p>
    <w:p w14:paraId="61A6B2BF">
      <w:pPr>
        <w:numPr>
          <w:ilvl w:val="0"/>
          <w:numId w:val="4"/>
        </w:numPr>
        <w:adjustRightInd w:val="0"/>
        <w:snapToGrid w:val="0"/>
        <w:spacing w:line="580" w:lineRule="exact"/>
        <w:ind w:firstLine="664"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起止时间。</w:t>
      </w:r>
    </w:p>
    <w:p w14:paraId="3EB45B10">
      <w:pPr>
        <w:numPr>
          <w:ilvl w:val="0"/>
          <w:numId w:val="0"/>
        </w:numPr>
        <w:adjustRightInd w:val="0"/>
        <w:snapToGrid w:val="0"/>
        <w:spacing w:line="580" w:lineRule="exact"/>
        <w:ind w:firstLine="664"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4</w:t>
      </w:r>
      <w:r>
        <w:rPr>
          <w:rFonts w:ascii="Times New Roman" w:hAnsi="Times New Roman" w:eastAsia="仿宋_GB2312" w:cs="Times New Roman"/>
          <w:kern w:val="2"/>
          <w:sz w:val="32"/>
          <w:szCs w:val="32"/>
          <w:lang w:val="en-US" w:eastAsia="zh-CN" w:bidi="ar-SA"/>
        </w:rPr>
        <w:t>年1月1日至202</w:t>
      </w:r>
      <w:r>
        <w:rPr>
          <w:rFonts w:hint="eastAsia" w:ascii="Times New Roman" w:hAnsi="Times New Roman" w:eastAsia="仿宋_GB2312" w:cs="Times New Roman"/>
          <w:kern w:val="2"/>
          <w:sz w:val="32"/>
          <w:szCs w:val="32"/>
          <w:lang w:val="en-US" w:eastAsia="zh-CN" w:bidi="ar-SA"/>
        </w:rPr>
        <w:t>4</w:t>
      </w:r>
      <w:r>
        <w:rPr>
          <w:rFonts w:ascii="Times New Roman" w:hAnsi="Times New Roman" w:eastAsia="仿宋_GB2312" w:cs="Times New Roman"/>
          <w:kern w:val="2"/>
          <w:sz w:val="32"/>
          <w:szCs w:val="32"/>
          <w:lang w:val="en-US" w:eastAsia="zh-CN" w:bidi="ar-SA"/>
        </w:rPr>
        <w:t>年12月31日。</w:t>
      </w:r>
    </w:p>
    <w:p w14:paraId="4109B712">
      <w:pPr>
        <w:numPr>
          <w:ilvl w:val="0"/>
          <w:numId w:val="4"/>
        </w:numPr>
        <w:adjustRightInd w:val="0"/>
        <w:snapToGrid w:val="0"/>
        <w:spacing w:line="580" w:lineRule="exact"/>
        <w:ind w:left="0" w:leftChars="0" w:firstLine="664"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项目内容。</w:t>
      </w:r>
    </w:p>
    <w:p w14:paraId="0A281C9E">
      <w:pPr>
        <w:numPr>
          <w:ilvl w:val="0"/>
          <w:numId w:val="0"/>
        </w:numPr>
        <w:adjustRightInd w:val="0"/>
        <w:snapToGrid w:val="0"/>
        <w:spacing w:line="580" w:lineRule="exact"/>
        <w:ind w:leftChars="200"/>
        <w:rPr>
          <w:rFonts w:hint="default" w:cs="Times New Roman"/>
          <w:kern w:val="2"/>
          <w:sz w:val="32"/>
          <w:szCs w:val="32"/>
          <w:lang w:val="en-US" w:eastAsia="zh-CN" w:bidi="ar-SA"/>
        </w:rPr>
      </w:pPr>
      <w:r>
        <w:rPr>
          <w:rFonts w:hint="eastAsia" w:cs="Times New Roman"/>
          <w:kern w:val="2"/>
          <w:sz w:val="32"/>
          <w:szCs w:val="32"/>
          <w:lang w:val="en-US" w:eastAsia="zh-CN" w:bidi="ar-SA"/>
        </w:rPr>
        <w:t>弥补日常经费不足，为职工正常履职工作提供保障。</w:t>
      </w:r>
    </w:p>
    <w:p w14:paraId="3EAB6B0D">
      <w:pPr>
        <w:numPr>
          <w:ilvl w:val="0"/>
          <w:numId w:val="4"/>
        </w:numPr>
        <w:adjustRightInd w:val="0"/>
        <w:snapToGrid w:val="0"/>
        <w:spacing w:line="580" w:lineRule="exact"/>
        <w:ind w:left="0" w:leftChars="0" w:firstLine="664"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年度预算安排。</w:t>
      </w:r>
    </w:p>
    <w:p w14:paraId="3530E16A">
      <w:pPr>
        <w:numPr>
          <w:ilvl w:val="0"/>
          <w:numId w:val="0"/>
        </w:numPr>
        <w:adjustRightInd w:val="0"/>
        <w:snapToGrid w:val="0"/>
        <w:spacing w:line="580" w:lineRule="exact"/>
        <w:ind w:leftChars="200"/>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年初</w:t>
      </w:r>
      <w:r>
        <w:rPr>
          <w:rFonts w:hint="eastAsia" w:ascii="Times New Roman" w:hAnsi="Times New Roman" w:eastAsia="仿宋_GB2312" w:cs="Times New Roman"/>
          <w:kern w:val="2"/>
          <w:sz w:val="32"/>
          <w:szCs w:val="32"/>
          <w:lang w:val="en-US" w:eastAsia="zh-CN" w:bidi="ar-SA"/>
        </w:rPr>
        <w:t>财政</w:t>
      </w:r>
      <w:r>
        <w:rPr>
          <w:rFonts w:hint="eastAsia" w:cs="Times New Roman"/>
          <w:kern w:val="2"/>
          <w:sz w:val="32"/>
          <w:szCs w:val="32"/>
          <w:lang w:val="en-US" w:eastAsia="zh-CN" w:bidi="ar-SA"/>
        </w:rPr>
        <w:t>预算</w:t>
      </w:r>
      <w:r>
        <w:rPr>
          <w:rFonts w:hint="eastAsia" w:ascii="Times New Roman" w:hAnsi="Times New Roman" w:eastAsia="仿宋_GB2312" w:cs="Times New Roman"/>
          <w:kern w:val="2"/>
          <w:sz w:val="32"/>
          <w:szCs w:val="32"/>
          <w:lang w:val="en-US" w:eastAsia="zh-CN" w:bidi="ar-SA"/>
        </w:rPr>
        <w:t>安排4.75万元</w:t>
      </w:r>
      <w:r>
        <w:rPr>
          <w:rFonts w:hint="eastAsia" w:cs="Times New Roman"/>
          <w:kern w:val="2"/>
          <w:sz w:val="32"/>
          <w:szCs w:val="32"/>
          <w:lang w:val="en-US" w:eastAsia="zh-CN" w:bidi="ar-SA"/>
        </w:rPr>
        <w:t>，主要为办公经费。</w:t>
      </w:r>
    </w:p>
    <w:p w14:paraId="4EBD401C">
      <w:pPr>
        <w:numPr>
          <w:ilvl w:val="0"/>
          <w:numId w:val="4"/>
        </w:numPr>
        <w:adjustRightInd w:val="0"/>
        <w:snapToGrid w:val="0"/>
        <w:spacing w:line="580" w:lineRule="exact"/>
        <w:ind w:left="0" w:leftChars="0" w:firstLine="664"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绩效目标。</w:t>
      </w:r>
    </w:p>
    <w:p w14:paraId="1C556F77">
      <w:pPr>
        <w:adjustRightInd w:val="0"/>
        <w:snapToGrid w:val="0"/>
        <w:spacing w:line="580" w:lineRule="exact"/>
        <w:ind w:firstLine="664" w:firstLineChars="200"/>
        <w:rPr>
          <w:rFonts w:ascii="Times New Roman" w:hAnsi="Times New Roman" w:eastAsia="仿宋_GB2312" w:cs="Times New Roman"/>
          <w:kern w:val="2"/>
          <w:sz w:val="32"/>
          <w:szCs w:val="32"/>
          <w:lang w:val="en-US" w:eastAsia="zh-CN" w:bidi="ar-SA"/>
        </w:rPr>
      </w:pPr>
    </w:p>
    <w:tbl>
      <w:tblPr>
        <w:tblStyle w:val="8"/>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
        <w:gridCol w:w="439"/>
        <w:gridCol w:w="561"/>
        <w:gridCol w:w="658"/>
        <w:gridCol w:w="2657"/>
        <w:gridCol w:w="1841"/>
        <w:gridCol w:w="2366"/>
      </w:tblGrid>
      <w:tr w14:paraId="6BC9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960" w:type="dxa"/>
            <w:gridSpan w:val="7"/>
            <w:tcBorders>
              <w:top w:val="nil"/>
              <w:left w:val="nil"/>
              <w:bottom w:val="nil"/>
              <w:right w:val="nil"/>
            </w:tcBorders>
            <w:shd w:val="clear" w:color="auto" w:fill="auto"/>
            <w:vAlign w:val="center"/>
          </w:tcPr>
          <w:p w14:paraId="2A813DF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14:paraId="67EC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960" w:type="dxa"/>
            <w:gridSpan w:val="7"/>
            <w:tcBorders>
              <w:top w:val="nil"/>
              <w:left w:val="nil"/>
              <w:bottom w:val="nil"/>
              <w:right w:val="nil"/>
            </w:tcBorders>
            <w:shd w:val="clear" w:color="auto" w:fill="auto"/>
            <w:vAlign w:val="center"/>
          </w:tcPr>
          <w:p w14:paraId="4A2D3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（2024年度）                                </w:t>
            </w:r>
          </w:p>
        </w:tc>
      </w:tr>
      <w:tr w14:paraId="67BE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438" w:type="dxa"/>
            <w:gridSpan w:val="3"/>
            <w:tcBorders>
              <w:top w:val="nil"/>
              <w:left w:val="nil"/>
              <w:bottom w:val="nil"/>
              <w:right w:val="nil"/>
            </w:tcBorders>
            <w:shd w:val="clear" w:color="auto" w:fill="auto"/>
            <w:vAlign w:val="center"/>
          </w:tcPr>
          <w:p w14:paraId="0AE25D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项目责任人：</w:t>
            </w:r>
          </w:p>
        </w:tc>
        <w:tc>
          <w:tcPr>
            <w:tcW w:w="3315" w:type="dxa"/>
            <w:gridSpan w:val="2"/>
            <w:tcBorders>
              <w:top w:val="nil"/>
              <w:left w:val="nil"/>
              <w:bottom w:val="nil"/>
              <w:right w:val="nil"/>
            </w:tcBorders>
            <w:shd w:val="clear" w:color="auto" w:fill="auto"/>
            <w:vAlign w:val="center"/>
          </w:tcPr>
          <w:p w14:paraId="4D243BCD">
            <w:pPr>
              <w:jc w:val="center"/>
              <w:rPr>
                <w:rFonts w:hint="eastAsia" w:ascii="宋体" w:hAnsi="宋体" w:eastAsia="宋体" w:cs="宋体"/>
                <w:i w:val="0"/>
                <w:iCs w:val="0"/>
                <w:color w:val="000000"/>
                <w:sz w:val="18"/>
                <w:szCs w:val="18"/>
                <w:u w:val="none"/>
              </w:rPr>
            </w:pPr>
          </w:p>
        </w:tc>
        <w:tc>
          <w:tcPr>
            <w:tcW w:w="1841" w:type="dxa"/>
            <w:tcBorders>
              <w:top w:val="nil"/>
              <w:left w:val="nil"/>
              <w:bottom w:val="nil"/>
              <w:right w:val="nil"/>
            </w:tcBorders>
            <w:shd w:val="clear" w:color="auto" w:fill="auto"/>
            <w:vAlign w:val="center"/>
          </w:tcPr>
          <w:p w14:paraId="473E58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单位（盖章）：</w:t>
            </w:r>
          </w:p>
        </w:tc>
        <w:tc>
          <w:tcPr>
            <w:tcW w:w="2366" w:type="dxa"/>
            <w:tcBorders>
              <w:top w:val="nil"/>
              <w:left w:val="nil"/>
              <w:bottom w:val="nil"/>
              <w:right w:val="nil"/>
            </w:tcBorders>
            <w:shd w:val="clear" w:color="auto" w:fill="auto"/>
            <w:vAlign w:val="center"/>
          </w:tcPr>
          <w:p w14:paraId="3188B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黄山市人大预算联网监督中心</w:t>
            </w:r>
          </w:p>
        </w:tc>
      </w:tr>
      <w:tr w14:paraId="1AEB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DB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11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综合工作经费</w:t>
            </w:r>
          </w:p>
        </w:tc>
      </w:tr>
      <w:tr w14:paraId="3FAD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438" w:type="dxa"/>
            <w:gridSpan w:val="3"/>
            <w:tcBorders>
              <w:top w:val="nil"/>
              <w:left w:val="single" w:color="000000" w:sz="4" w:space="0"/>
              <w:bottom w:val="single" w:color="000000" w:sz="4" w:space="0"/>
              <w:right w:val="nil"/>
            </w:tcBorders>
            <w:shd w:val="clear" w:color="auto" w:fill="auto"/>
            <w:vAlign w:val="center"/>
          </w:tcPr>
          <w:p w14:paraId="0AC90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315" w:type="dxa"/>
            <w:gridSpan w:val="2"/>
            <w:tcBorders>
              <w:top w:val="nil"/>
              <w:left w:val="single" w:color="000000" w:sz="4" w:space="0"/>
              <w:bottom w:val="single" w:color="000000" w:sz="4" w:space="0"/>
              <w:right w:val="nil"/>
            </w:tcBorders>
            <w:shd w:val="clear" w:color="auto" w:fill="auto"/>
            <w:vAlign w:val="center"/>
          </w:tcPr>
          <w:p w14:paraId="060B2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[003]黄山市人民代表大会常务委员会办公室</w:t>
            </w:r>
          </w:p>
        </w:tc>
        <w:tc>
          <w:tcPr>
            <w:tcW w:w="1841" w:type="dxa"/>
            <w:tcBorders>
              <w:top w:val="nil"/>
              <w:left w:val="single" w:color="000000" w:sz="4" w:space="0"/>
              <w:bottom w:val="single" w:color="000000" w:sz="4" w:space="0"/>
              <w:right w:val="nil"/>
            </w:tcBorders>
            <w:shd w:val="clear" w:color="auto" w:fill="auto"/>
            <w:vAlign w:val="center"/>
          </w:tcPr>
          <w:p w14:paraId="1BF30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366" w:type="dxa"/>
            <w:tcBorders>
              <w:top w:val="nil"/>
              <w:left w:val="single" w:color="000000" w:sz="4" w:space="0"/>
              <w:bottom w:val="single" w:color="000000" w:sz="4" w:space="0"/>
              <w:right w:val="single" w:color="000000" w:sz="4" w:space="0"/>
            </w:tcBorders>
            <w:shd w:val="clear" w:color="auto" w:fill="auto"/>
            <w:vAlign w:val="center"/>
          </w:tcPr>
          <w:p w14:paraId="58949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黄山市人大预算联网监督中心</w:t>
            </w:r>
          </w:p>
        </w:tc>
      </w:tr>
      <w:tr w14:paraId="5292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38" w:type="dxa"/>
            <w:gridSpan w:val="3"/>
            <w:tcBorders>
              <w:top w:val="single" w:color="000000" w:sz="4" w:space="0"/>
              <w:left w:val="single" w:color="000000" w:sz="4" w:space="0"/>
              <w:bottom w:val="single" w:color="000000" w:sz="4" w:space="0"/>
              <w:right w:val="nil"/>
            </w:tcBorders>
            <w:shd w:val="clear" w:color="auto" w:fill="auto"/>
            <w:vAlign w:val="center"/>
          </w:tcPr>
          <w:p w14:paraId="3C1D8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315" w:type="dxa"/>
            <w:gridSpan w:val="2"/>
            <w:tcBorders>
              <w:top w:val="single" w:color="000000" w:sz="4" w:space="0"/>
              <w:left w:val="single" w:color="000000" w:sz="4" w:space="0"/>
              <w:bottom w:val="single" w:color="000000" w:sz="4" w:space="0"/>
              <w:right w:val="nil"/>
            </w:tcBorders>
            <w:shd w:val="clear" w:color="auto" w:fill="auto"/>
            <w:vAlign w:val="center"/>
          </w:tcPr>
          <w:p w14:paraId="77261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841" w:type="dxa"/>
            <w:tcBorders>
              <w:top w:val="single" w:color="000000" w:sz="4" w:space="0"/>
              <w:left w:val="single" w:color="000000" w:sz="4" w:space="0"/>
              <w:bottom w:val="single" w:color="000000" w:sz="4" w:space="0"/>
              <w:right w:val="nil"/>
            </w:tcBorders>
            <w:shd w:val="clear" w:color="auto" w:fill="auto"/>
            <w:vAlign w:val="center"/>
          </w:tcPr>
          <w:p w14:paraId="45EFC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6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3B4F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38" w:type="dxa"/>
            <w:gridSpan w:val="3"/>
            <w:vMerge w:val="restart"/>
            <w:tcBorders>
              <w:top w:val="single" w:color="000000" w:sz="4" w:space="0"/>
              <w:left w:val="single" w:color="000000" w:sz="4" w:space="0"/>
              <w:bottom w:val="single" w:color="000000" w:sz="4" w:space="0"/>
              <w:right w:val="nil"/>
            </w:tcBorders>
            <w:shd w:val="clear" w:color="auto" w:fill="auto"/>
            <w:vAlign w:val="center"/>
          </w:tcPr>
          <w:p w14:paraId="2EC36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315" w:type="dxa"/>
            <w:gridSpan w:val="2"/>
            <w:tcBorders>
              <w:top w:val="single" w:color="000000" w:sz="4" w:space="0"/>
              <w:left w:val="single" w:color="000000" w:sz="4" w:space="0"/>
              <w:bottom w:val="single" w:color="000000" w:sz="4" w:space="0"/>
              <w:right w:val="nil"/>
            </w:tcBorders>
            <w:shd w:val="clear" w:color="auto" w:fill="auto"/>
            <w:vAlign w:val="center"/>
          </w:tcPr>
          <w:p w14:paraId="43889E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9BA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4.75 </w:t>
            </w:r>
          </w:p>
        </w:tc>
      </w:tr>
      <w:tr w14:paraId="2976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38"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16CDA29D">
            <w:pPr>
              <w:jc w:val="center"/>
              <w:rPr>
                <w:rFonts w:hint="eastAsia" w:ascii="宋体" w:hAnsi="宋体" w:eastAsia="宋体" w:cs="宋体"/>
                <w:i w:val="0"/>
                <w:iCs w:val="0"/>
                <w:color w:val="000000"/>
                <w:sz w:val="20"/>
                <w:szCs w:val="20"/>
                <w:u w:val="none"/>
              </w:rPr>
            </w:pPr>
          </w:p>
        </w:tc>
        <w:tc>
          <w:tcPr>
            <w:tcW w:w="3315" w:type="dxa"/>
            <w:gridSpan w:val="2"/>
            <w:tcBorders>
              <w:top w:val="single" w:color="000000" w:sz="4" w:space="0"/>
              <w:left w:val="single" w:color="000000" w:sz="4" w:space="0"/>
              <w:bottom w:val="single" w:color="000000" w:sz="4" w:space="0"/>
              <w:right w:val="nil"/>
            </w:tcBorders>
            <w:shd w:val="clear" w:color="auto" w:fill="auto"/>
            <w:vAlign w:val="center"/>
          </w:tcPr>
          <w:p w14:paraId="6CBBC7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AA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4.75 </w:t>
            </w:r>
          </w:p>
        </w:tc>
      </w:tr>
      <w:tr w14:paraId="5337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38"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3EC22C65">
            <w:pPr>
              <w:jc w:val="center"/>
              <w:rPr>
                <w:rFonts w:hint="eastAsia" w:ascii="宋体" w:hAnsi="宋体" w:eastAsia="宋体" w:cs="宋体"/>
                <w:i w:val="0"/>
                <w:iCs w:val="0"/>
                <w:color w:val="000000"/>
                <w:sz w:val="20"/>
                <w:szCs w:val="20"/>
                <w:u w:val="none"/>
              </w:rPr>
            </w:pPr>
          </w:p>
        </w:tc>
        <w:tc>
          <w:tcPr>
            <w:tcW w:w="3315" w:type="dxa"/>
            <w:gridSpan w:val="2"/>
            <w:tcBorders>
              <w:top w:val="single" w:color="000000" w:sz="4" w:space="0"/>
              <w:left w:val="single" w:color="000000" w:sz="4" w:space="0"/>
              <w:bottom w:val="single" w:color="000000" w:sz="4" w:space="0"/>
              <w:right w:val="nil"/>
            </w:tcBorders>
            <w:shd w:val="clear" w:color="auto" w:fill="auto"/>
            <w:vAlign w:val="center"/>
          </w:tcPr>
          <w:p w14:paraId="65213E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063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0.00 </w:t>
            </w:r>
          </w:p>
        </w:tc>
      </w:tr>
      <w:tr w14:paraId="5082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438" w:type="dxa"/>
            <w:tcBorders>
              <w:top w:val="single" w:color="000000" w:sz="4" w:space="0"/>
              <w:left w:val="single" w:color="000000" w:sz="4" w:space="0"/>
              <w:bottom w:val="single" w:color="000000" w:sz="4" w:space="0"/>
              <w:right w:val="nil"/>
            </w:tcBorders>
            <w:shd w:val="clear" w:color="auto" w:fill="auto"/>
            <w:vAlign w:val="center"/>
          </w:tcPr>
          <w:p w14:paraId="594E1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308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提高市人大预算审查监督的专业化、科学化，进一步增强监督时效，为常委会机关提供优质高效服务和保障。</w:t>
            </w:r>
          </w:p>
        </w:tc>
      </w:tr>
      <w:tr w14:paraId="4A42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74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439" w:type="dxa"/>
            <w:tcBorders>
              <w:top w:val="single" w:color="000000" w:sz="4" w:space="0"/>
              <w:left w:val="nil"/>
              <w:bottom w:val="single" w:color="000000" w:sz="4" w:space="0"/>
              <w:right w:val="nil"/>
            </w:tcBorders>
            <w:shd w:val="clear" w:color="auto" w:fill="auto"/>
            <w:vAlign w:val="center"/>
          </w:tcPr>
          <w:p w14:paraId="13DFE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19" w:type="dxa"/>
            <w:gridSpan w:val="2"/>
            <w:tcBorders>
              <w:top w:val="single" w:color="000000" w:sz="4" w:space="0"/>
              <w:left w:val="single" w:color="000000" w:sz="4" w:space="0"/>
              <w:bottom w:val="single" w:color="000000" w:sz="4" w:space="0"/>
              <w:right w:val="nil"/>
            </w:tcBorders>
            <w:shd w:val="clear" w:color="auto" w:fill="auto"/>
            <w:vAlign w:val="center"/>
          </w:tcPr>
          <w:p w14:paraId="25E6D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657" w:type="dxa"/>
            <w:tcBorders>
              <w:top w:val="single" w:color="000000" w:sz="4" w:space="0"/>
              <w:left w:val="single" w:color="000000" w:sz="4" w:space="0"/>
              <w:bottom w:val="single" w:color="000000" w:sz="4" w:space="0"/>
              <w:right w:val="nil"/>
            </w:tcBorders>
            <w:shd w:val="clear" w:color="auto" w:fill="auto"/>
            <w:vAlign w:val="center"/>
          </w:tcPr>
          <w:p w14:paraId="00FDA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AB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447C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1F9C7">
            <w:pPr>
              <w:jc w:val="center"/>
              <w:rPr>
                <w:rFonts w:hint="eastAsia" w:ascii="宋体" w:hAnsi="宋体" w:eastAsia="宋体" w:cs="宋体"/>
                <w:i w:val="0"/>
                <w:iCs w:val="0"/>
                <w:color w:val="000000"/>
                <w:sz w:val="20"/>
                <w:szCs w:val="20"/>
                <w:u w:val="none"/>
              </w:rPr>
            </w:pPr>
          </w:p>
        </w:tc>
        <w:tc>
          <w:tcPr>
            <w:tcW w:w="439" w:type="dxa"/>
            <w:vMerge w:val="restart"/>
            <w:tcBorders>
              <w:top w:val="single" w:color="000000" w:sz="4" w:space="0"/>
              <w:left w:val="nil"/>
              <w:bottom w:val="single" w:color="000000" w:sz="4" w:space="0"/>
              <w:right w:val="nil"/>
            </w:tcBorders>
            <w:shd w:val="clear" w:color="auto" w:fill="auto"/>
            <w:vAlign w:val="center"/>
          </w:tcPr>
          <w:p w14:paraId="74108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19" w:type="dxa"/>
            <w:gridSpan w:val="2"/>
            <w:tcBorders>
              <w:top w:val="single" w:color="000000" w:sz="4" w:space="0"/>
              <w:left w:val="single" w:color="000000" w:sz="4" w:space="0"/>
              <w:bottom w:val="single" w:color="000000" w:sz="4" w:space="0"/>
              <w:right w:val="nil"/>
            </w:tcBorders>
            <w:shd w:val="clear" w:color="auto" w:fill="auto"/>
            <w:vAlign w:val="center"/>
          </w:tcPr>
          <w:p w14:paraId="6B21C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657" w:type="dxa"/>
            <w:tcBorders>
              <w:top w:val="single" w:color="000000" w:sz="4" w:space="0"/>
              <w:left w:val="single" w:color="000000" w:sz="4" w:space="0"/>
              <w:bottom w:val="single" w:color="000000" w:sz="4" w:space="0"/>
              <w:right w:val="nil"/>
            </w:tcBorders>
            <w:shd w:val="clear" w:color="auto" w:fill="auto"/>
            <w:vAlign w:val="center"/>
          </w:tcPr>
          <w:p w14:paraId="44070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在职人数</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F5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4人</w:t>
            </w:r>
          </w:p>
        </w:tc>
      </w:tr>
      <w:tr w14:paraId="4061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71FAF">
            <w:pPr>
              <w:jc w:val="center"/>
              <w:rPr>
                <w:rFonts w:hint="eastAsia" w:ascii="宋体" w:hAnsi="宋体" w:eastAsia="宋体" w:cs="宋体"/>
                <w:i w:val="0"/>
                <w:iCs w:val="0"/>
                <w:color w:val="000000"/>
                <w:sz w:val="20"/>
                <w:szCs w:val="20"/>
                <w:u w:val="none"/>
              </w:rPr>
            </w:pPr>
          </w:p>
        </w:tc>
        <w:tc>
          <w:tcPr>
            <w:tcW w:w="439" w:type="dxa"/>
            <w:vMerge w:val="continue"/>
            <w:tcBorders>
              <w:top w:val="single" w:color="000000" w:sz="4" w:space="0"/>
              <w:left w:val="nil"/>
              <w:bottom w:val="single" w:color="000000" w:sz="4" w:space="0"/>
              <w:right w:val="nil"/>
            </w:tcBorders>
            <w:shd w:val="clear" w:color="auto" w:fill="auto"/>
            <w:vAlign w:val="center"/>
          </w:tcPr>
          <w:p w14:paraId="678842EB">
            <w:pPr>
              <w:jc w:val="center"/>
              <w:rPr>
                <w:rFonts w:hint="eastAsia" w:ascii="宋体" w:hAnsi="宋体" w:eastAsia="宋体" w:cs="宋体"/>
                <w:i w:val="0"/>
                <w:iCs w:val="0"/>
                <w:color w:val="000000"/>
                <w:sz w:val="20"/>
                <w:szCs w:val="20"/>
                <w:u w:val="none"/>
              </w:rPr>
            </w:pPr>
          </w:p>
        </w:tc>
        <w:tc>
          <w:tcPr>
            <w:tcW w:w="1219" w:type="dxa"/>
            <w:gridSpan w:val="2"/>
            <w:tcBorders>
              <w:top w:val="single" w:color="000000" w:sz="4" w:space="0"/>
              <w:left w:val="single" w:color="000000" w:sz="4" w:space="0"/>
              <w:bottom w:val="single" w:color="000000" w:sz="4" w:space="0"/>
              <w:right w:val="nil"/>
            </w:tcBorders>
            <w:shd w:val="clear" w:color="auto" w:fill="auto"/>
            <w:vAlign w:val="center"/>
          </w:tcPr>
          <w:p w14:paraId="182C0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657" w:type="dxa"/>
            <w:tcBorders>
              <w:top w:val="single" w:color="000000" w:sz="4" w:space="0"/>
              <w:left w:val="single" w:color="000000" w:sz="4" w:space="0"/>
              <w:bottom w:val="single" w:color="000000" w:sz="4" w:space="0"/>
              <w:right w:val="nil"/>
            </w:tcBorders>
            <w:shd w:val="clear" w:color="auto" w:fill="auto"/>
            <w:vAlign w:val="center"/>
          </w:tcPr>
          <w:p w14:paraId="16342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经费支出合规性</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EA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严格根据财务有关规定支出</w:t>
            </w:r>
          </w:p>
        </w:tc>
      </w:tr>
      <w:tr w14:paraId="6C3FA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49CDB">
            <w:pPr>
              <w:jc w:val="center"/>
              <w:rPr>
                <w:rFonts w:hint="eastAsia" w:ascii="宋体" w:hAnsi="宋体" w:eastAsia="宋体" w:cs="宋体"/>
                <w:i w:val="0"/>
                <w:iCs w:val="0"/>
                <w:color w:val="000000"/>
                <w:sz w:val="20"/>
                <w:szCs w:val="20"/>
                <w:u w:val="none"/>
              </w:rPr>
            </w:pPr>
          </w:p>
        </w:tc>
        <w:tc>
          <w:tcPr>
            <w:tcW w:w="439" w:type="dxa"/>
            <w:vMerge w:val="continue"/>
            <w:tcBorders>
              <w:top w:val="single" w:color="000000" w:sz="4" w:space="0"/>
              <w:left w:val="nil"/>
              <w:bottom w:val="single" w:color="000000" w:sz="4" w:space="0"/>
              <w:right w:val="nil"/>
            </w:tcBorders>
            <w:shd w:val="clear" w:color="auto" w:fill="auto"/>
            <w:vAlign w:val="center"/>
          </w:tcPr>
          <w:p w14:paraId="5FB7EF6B">
            <w:pPr>
              <w:jc w:val="center"/>
              <w:rPr>
                <w:rFonts w:hint="eastAsia" w:ascii="宋体" w:hAnsi="宋体" w:eastAsia="宋体" w:cs="宋体"/>
                <w:i w:val="0"/>
                <w:iCs w:val="0"/>
                <w:color w:val="000000"/>
                <w:sz w:val="20"/>
                <w:szCs w:val="20"/>
                <w:u w:val="none"/>
              </w:rPr>
            </w:pPr>
          </w:p>
        </w:tc>
        <w:tc>
          <w:tcPr>
            <w:tcW w:w="1219" w:type="dxa"/>
            <w:gridSpan w:val="2"/>
            <w:tcBorders>
              <w:top w:val="single" w:color="000000" w:sz="4" w:space="0"/>
              <w:left w:val="single" w:color="000000" w:sz="4" w:space="0"/>
              <w:bottom w:val="single" w:color="000000" w:sz="4" w:space="0"/>
              <w:right w:val="nil"/>
            </w:tcBorders>
            <w:shd w:val="clear" w:color="auto" w:fill="auto"/>
            <w:vAlign w:val="center"/>
          </w:tcPr>
          <w:p w14:paraId="60520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657" w:type="dxa"/>
            <w:tcBorders>
              <w:top w:val="single" w:color="000000" w:sz="4" w:space="0"/>
              <w:left w:val="single" w:color="000000" w:sz="4" w:space="0"/>
              <w:bottom w:val="single" w:color="000000" w:sz="4" w:space="0"/>
              <w:right w:val="nil"/>
            </w:tcBorders>
            <w:shd w:val="clear" w:color="auto" w:fill="auto"/>
            <w:vAlign w:val="center"/>
          </w:tcPr>
          <w:p w14:paraId="64687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经费支出及时性</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AF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及时支付</w:t>
            </w:r>
          </w:p>
        </w:tc>
      </w:tr>
      <w:tr w14:paraId="0741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5F78">
            <w:pPr>
              <w:jc w:val="center"/>
              <w:rPr>
                <w:rFonts w:hint="eastAsia" w:ascii="宋体" w:hAnsi="宋体" w:eastAsia="宋体" w:cs="宋体"/>
                <w:i w:val="0"/>
                <w:iCs w:val="0"/>
                <w:color w:val="000000"/>
                <w:sz w:val="20"/>
                <w:szCs w:val="20"/>
                <w:u w:val="none"/>
              </w:rPr>
            </w:pPr>
          </w:p>
        </w:tc>
        <w:tc>
          <w:tcPr>
            <w:tcW w:w="439" w:type="dxa"/>
            <w:vMerge w:val="continue"/>
            <w:tcBorders>
              <w:top w:val="single" w:color="000000" w:sz="4" w:space="0"/>
              <w:left w:val="nil"/>
              <w:bottom w:val="single" w:color="000000" w:sz="4" w:space="0"/>
              <w:right w:val="nil"/>
            </w:tcBorders>
            <w:shd w:val="clear" w:color="auto" w:fill="auto"/>
            <w:vAlign w:val="center"/>
          </w:tcPr>
          <w:p w14:paraId="48B0B884">
            <w:pPr>
              <w:jc w:val="center"/>
              <w:rPr>
                <w:rFonts w:hint="eastAsia" w:ascii="宋体" w:hAnsi="宋体" w:eastAsia="宋体" w:cs="宋体"/>
                <w:i w:val="0"/>
                <w:iCs w:val="0"/>
                <w:color w:val="000000"/>
                <w:sz w:val="20"/>
                <w:szCs w:val="20"/>
                <w:u w:val="none"/>
              </w:rPr>
            </w:pPr>
          </w:p>
        </w:tc>
        <w:tc>
          <w:tcPr>
            <w:tcW w:w="1219" w:type="dxa"/>
            <w:gridSpan w:val="2"/>
            <w:tcBorders>
              <w:top w:val="single" w:color="000000" w:sz="4" w:space="0"/>
              <w:left w:val="single" w:color="000000" w:sz="4" w:space="0"/>
              <w:bottom w:val="single" w:color="000000" w:sz="4" w:space="0"/>
              <w:right w:val="nil"/>
            </w:tcBorders>
            <w:shd w:val="clear" w:color="auto" w:fill="auto"/>
            <w:vAlign w:val="center"/>
          </w:tcPr>
          <w:p w14:paraId="56CB2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657" w:type="dxa"/>
            <w:tcBorders>
              <w:top w:val="single" w:color="000000" w:sz="4" w:space="0"/>
              <w:left w:val="single" w:color="000000" w:sz="4" w:space="0"/>
              <w:bottom w:val="single" w:color="000000" w:sz="4" w:space="0"/>
              <w:right w:val="nil"/>
            </w:tcBorders>
            <w:shd w:val="clear" w:color="auto" w:fill="auto"/>
            <w:vAlign w:val="center"/>
          </w:tcPr>
          <w:p w14:paraId="21EE0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项目经费</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6E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r>
      <w:tr w14:paraId="5592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DE2B9">
            <w:pPr>
              <w:jc w:val="center"/>
              <w:rPr>
                <w:rFonts w:hint="eastAsia" w:ascii="宋体" w:hAnsi="宋体" w:eastAsia="宋体" w:cs="宋体"/>
                <w:i w:val="0"/>
                <w:iCs w:val="0"/>
                <w:color w:val="000000"/>
                <w:sz w:val="20"/>
                <w:szCs w:val="20"/>
                <w:u w:val="none"/>
              </w:rPr>
            </w:pPr>
          </w:p>
        </w:tc>
        <w:tc>
          <w:tcPr>
            <w:tcW w:w="439" w:type="dxa"/>
            <w:vMerge w:val="restart"/>
            <w:tcBorders>
              <w:top w:val="single" w:color="000000" w:sz="4" w:space="0"/>
              <w:left w:val="nil"/>
              <w:bottom w:val="single" w:color="000000" w:sz="4" w:space="0"/>
              <w:right w:val="nil"/>
            </w:tcBorders>
            <w:shd w:val="clear" w:color="auto" w:fill="auto"/>
            <w:vAlign w:val="center"/>
          </w:tcPr>
          <w:p w14:paraId="358FA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19" w:type="dxa"/>
            <w:gridSpan w:val="2"/>
            <w:tcBorders>
              <w:top w:val="single" w:color="000000" w:sz="4" w:space="0"/>
              <w:left w:val="single" w:color="000000" w:sz="4" w:space="0"/>
              <w:bottom w:val="single" w:color="000000" w:sz="4" w:space="0"/>
              <w:right w:val="nil"/>
            </w:tcBorders>
            <w:shd w:val="clear" w:color="auto" w:fill="auto"/>
            <w:vAlign w:val="center"/>
          </w:tcPr>
          <w:p w14:paraId="47C75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657" w:type="dxa"/>
            <w:tcBorders>
              <w:top w:val="single" w:color="000000" w:sz="4" w:space="0"/>
              <w:left w:val="single" w:color="000000" w:sz="4" w:space="0"/>
              <w:bottom w:val="single" w:color="000000" w:sz="4" w:space="0"/>
              <w:right w:val="nil"/>
            </w:tcBorders>
            <w:shd w:val="clear" w:color="auto" w:fill="auto"/>
            <w:vAlign w:val="center"/>
          </w:tcPr>
          <w:p w14:paraId="69F14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单位职工恪尽职守，团结协作，贡献自己力量，为经济发展奠定基础</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EB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效果明显</w:t>
            </w:r>
          </w:p>
        </w:tc>
      </w:tr>
      <w:tr w14:paraId="205E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B41B0">
            <w:pPr>
              <w:jc w:val="center"/>
              <w:rPr>
                <w:rFonts w:hint="eastAsia" w:ascii="宋体" w:hAnsi="宋体" w:eastAsia="宋体" w:cs="宋体"/>
                <w:i w:val="0"/>
                <w:iCs w:val="0"/>
                <w:color w:val="000000"/>
                <w:sz w:val="20"/>
                <w:szCs w:val="20"/>
                <w:u w:val="none"/>
              </w:rPr>
            </w:pPr>
          </w:p>
        </w:tc>
        <w:tc>
          <w:tcPr>
            <w:tcW w:w="439" w:type="dxa"/>
            <w:vMerge w:val="continue"/>
            <w:tcBorders>
              <w:top w:val="single" w:color="000000" w:sz="4" w:space="0"/>
              <w:left w:val="nil"/>
              <w:bottom w:val="single" w:color="000000" w:sz="4" w:space="0"/>
              <w:right w:val="nil"/>
            </w:tcBorders>
            <w:shd w:val="clear" w:color="auto" w:fill="auto"/>
            <w:vAlign w:val="center"/>
          </w:tcPr>
          <w:p w14:paraId="46D28BF6">
            <w:pPr>
              <w:jc w:val="center"/>
              <w:rPr>
                <w:rFonts w:hint="eastAsia" w:ascii="宋体" w:hAnsi="宋体" w:eastAsia="宋体" w:cs="宋体"/>
                <w:i w:val="0"/>
                <w:iCs w:val="0"/>
                <w:color w:val="000000"/>
                <w:sz w:val="20"/>
                <w:szCs w:val="20"/>
                <w:u w:val="none"/>
              </w:rPr>
            </w:pPr>
          </w:p>
        </w:tc>
        <w:tc>
          <w:tcPr>
            <w:tcW w:w="1219" w:type="dxa"/>
            <w:gridSpan w:val="2"/>
            <w:tcBorders>
              <w:top w:val="single" w:color="000000" w:sz="4" w:space="0"/>
              <w:left w:val="single" w:color="000000" w:sz="4" w:space="0"/>
              <w:bottom w:val="single" w:color="000000" w:sz="4" w:space="0"/>
              <w:right w:val="nil"/>
            </w:tcBorders>
            <w:shd w:val="clear" w:color="auto" w:fill="auto"/>
            <w:vAlign w:val="center"/>
          </w:tcPr>
          <w:p w14:paraId="42A07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657" w:type="dxa"/>
            <w:tcBorders>
              <w:top w:val="single" w:color="000000" w:sz="4" w:space="0"/>
              <w:left w:val="single" w:color="000000" w:sz="4" w:space="0"/>
              <w:bottom w:val="single" w:color="000000" w:sz="4" w:space="0"/>
              <w:right w:val="nil"/>
            </w:tcBorders>
            <w:shd w:val="clear" w:color="auto" w:fill="auto"/>
            <w:vAlign w:val="center"/>
          </w:tcPr>
          <w:p w14:paraId="48FD1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单位日常工作得到有效保障，增强单位职工归属感，对社会和谐稳定发展起到推进作用</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D8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r>
      <w:tr w14:paraId="121D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DC82">
            <w:pPr>
              <w:jc w:val="center"/>
              <w:rPr>
                <w:rFonts w:hint="eastAsia" w:ascii="宋体" w:hAnsi="宋体" w:eastAsia="宋体" w:cs="宋体"/>
                <w:i w:val="0"/>
                <w:iCs w:val="0"/>
                <w:color w:val="000000"/>
                <w:sz w:val="20"/>
                <w:szCs w:val="20"/>
                <w:u w:val="none"/>
              </w:rPr>
            </w:pPr>
          </w:p>
        </w:tc>
        <w:tc>
          <w:tcPr>
            <w:tcW w:w="439" w:type="dxa"/>
            <w:vMerge w:val="continue"/>
            <w:tcBorders>
              <w:top w:val="single" w:color="000000" w:sz="4" w:space="0"/>
              <w:left w:val="nil"/>
              <w:bottom w:val="single" w:color="000000" w:sz="4" w:space="0"/>
              <w:right w:val="nil"/>
            </w:tcBorders>
            <w:shd w:val="clear" w:color="auto" w:fill="auto"/>
            <w:vAlign w:val="center"/>
          </w:tcPr>
          <w:p w14:paraId="11835AF3">
            <w:pPr>
              <w:jc w:val="center"/>
              <w:rPr>
                <w:rFonts w:hint="eastAsia" w:ascii="宋体" w:hAnsi="宋体" w:eastAsia="宋体" w:cs="宋体"/>
                <w:i w:val="0"/>
                <w:iCs w:val="0"/>
                <w:color w:val="000000"/>
                <w:sz w:val="20"/>
                <w:szCs w:val="20"/>
                <w:u w:val="none"/>
              </w:rPr>
            </w:pPr>
          </w:p>
        </w:tc>
        <w:tc>
          <w:tcPr>
            <w:tcW w:w="1219" w:type="dxa"/>
            <w:gridSpan w:val="2"/>
            <w:tcBorders>
              <w:top w:val="single" w:color="000000" w:sz="4" w:space="0"/>
              <w:left w:val="single" w:color="000000" w:sz="4" w:space="0"/>
              <w:bottom w:val="single" w:color="000000" w:sz="4" w:space="0"/>
              <w:right w:val="nil"/>
            </w:tcBorders>
            <w:shd w:val="clear" w:color="auto" w:fill="auto"/>
            <w:vAlign w:val="center"/>
          </w:tcPr>
          <w:p w14:paraId="24B7E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657" w:type="dxa"/>
            <w:tcBorders>
              <w:top w:val="single" w:color="000000" w:sz="4" w:space="0"/>
              <w:left w:val="single" w:color="000000" w:sz="4" w:space="0"/>
              <w:bottom w:val="single" w:color="000000" w:sz="4" w:space="0"/>
              <w:right w:val="nil"/>
            </w:tcBorders>
            <w:shd w:val="clear" w:color="auto" w:fill="auto"/>
            <w:vAlign w:val="center"/>
          </w:tcPr>
          <w:p w14:paraId="7265E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此指标不适用</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39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此指标不适用</w:t>
            </w:r>
          </w:p>
        </w:tc>
      </w:tr>
      <w:tr w14:paraId="6844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63F49">
            <w:pPr>
              <w:jc w:val="center"/>
              <w:rPr>
                <w:rFonts w:hint="eastAsia" w:ascii="宋体" w:hAnsi="宋体" w:eastAsia="宋体" w:cs="宋体"/>
                <w:i w:val="0"/>
                <w:iCs w:val="0"/>
                <w:color w:val="000000"/>
                <w:sz w:val="20"/>
                <w:szCs w:val="20"/>
                <w:u w:val="none"/>
              </w:rPr>
            </w:pPr>
          </w:p>
        </w:tc>
        <w:tc>
          <w:tcPr>
            <w:tcW w:w="439" w:type="dxa"/>
            <w:vMerge w:val="continue"/>
            <w:tcBorders>
              <w:top w:val="single" w:color="000000" w:sz="4" w:space="0"/>
              <w:left w:val="nil"/>
              <w:bottom w:val="single" w:color="000000" w:sz="4" w:space="0"/>
              <w:right w:val="nil"/>
            </w:tcBorders>
            <w:shd w:val="clear" w:color="auto" w:fill="auto"/>
            <w:vAlign w:val="center"/>
          </w:tcPr>
          <w:p w14:paraId="31C538A8">
            <w:pPr>
              <w:jc w:val="center"/>
              <w:rPr>
                <w:rFonts w:hint="eastAsia" w:ascii="宋体" w:hAnsi="宋体" w:eastAsia="宋体" w:cs="宋体"/>
                <w:i w:val="0"/>
                <w:iCs w:val="0"/>
                <w:color w:val="000000"/>
                <w:sz w:val="20"/>
                <w:szCs w:val="20"/>
                <w:u w:val="none"/>
              </w:rPr>
            </w:pPr>
          </w:p>
        </w:tc>
        <w:tc>
          <w:tcPr>
            <w:tcW w:w="1219" w:type="dxa"/>
            <w:gridSpan w:val="2"/>
            <w:tcBorders>
              <w:top w:val="single" w:color="000000" w:sz="4" w:space="0"/>
              <w:left w:val="single" w:color="000000" w:sz="4" w:space="0"/>
              <w:bottom w:val="single" w:color="000000" w:sz="4" w:space="0"/>
              <w:right w:val="nil"/>
            </w:tcBorders>
            <w:shd w:val="clear" w:color="auto" w:fill="auto"/>
            <w:vAlign w:val="center"/>
          </w:tcPr>
          <w:p w14:paraId="39B35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657" w:type="dxa"/>
            <w:tcBorders>
              <w:top w:val="single" w:color="000000" w:sz="4" w:space="0"/>
              <w:left w:val="single" w:color="000000" w:sz="4" w:space="0"/>
              <w:bottom w:val="single" w:color="000000" w:sz="4" w:space="0"/>
              <w:right w:val="nil"/>
            </w:tcBorders>
            <w:shd w:val="clear" w:color="auto" w:fill="auto"/>
            <w:vAlign w:val="center"/>
          </w:tcPr>
          <w:p w14:paraId="4C3B4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弥补单位日常公用经费，保障单位正常开展工作</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98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效果明显</w:t>
            </w:r>
          </w:p>
        </w:tc>
      </w:tr>
      <w:tr w14:paraId="12F6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02BE">
            <w:pPr>
              <w:jc w:val="center"/>
              <w:rPr>
                <w:rFonts w:hint="eastAsia" w:ascii="宋体" w:hAnsi="宋体" w:eastAsia="宋体" w:cs="宋体"/>
                <w:i w:val="0"/>
                <w:iCs w:val="0"/>
                <w:color w:val="000000"/>
                <w:sz w:val="20"/>
                <w:szCs w:val="20"/>
                <w:u w:val="none"/>
              </w:rPr>
            </w:pPr>
          </w:p>
        </w:tc>
        <w:tc>
          <w:tcPr>
            <w:tcW w:w="439" w:type="dxa"/>
            <w:tcBorders>
              <w:top w:val="single" w:color="000000" w:sz="4" w:space="0"/>
              <w:left w:val="nil"/>
              <w:bottom w:val="single" w:color="000000" w:sz="4" w:space="0"/>
              <w:right w:val="nil"/>
            </w:tcBorders>
            <w:shd w:val="clear" w:color="auto" w:fill="auto"/>
            <w:vAlign w:val="center"/>
          </w:tcPr>
          <w:p w14:paraId="10E6F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19" w:type="dxa"/>
            <w:gridSpan w:val="2"/>
            <w:tcBorders>
              <w:top w:val="single" w:color="000000" w:sz="4" w:space="0"/>
              <w:left w:val="single" w:color="000000" w:sz="4" w:space="0"/>
              <w:bottom w:val="single" w:color="000000" w:sz="4" w:space="0"/>
              <w:right w:val="nil"/>
            </w:tcBorders>
            <w:shd w:val="clear" w:color="auto" w:fill="auto"/>
            <w:vAlign w:val="center"/>
          </w:tcPr>
          <w:p w14:paraId="54295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657" w:type="dxa"/>
            <w:tcBorders>
              <w:top w:val="single" w:color="000000" w:sz="4" w:space="0"/>
              <w:left w:val="single" w:color="000000" w:sz="4" w:space="0"/>
              <w:bottom w:val="single" w:color="000000" w:sz="4" w:space="0"/>
              <w:right w:val="nil"/>
            </w:tcBorders>
            <w:shd w:val="clear" w:color="auto" w:fill="auto"/>
            <w:vAlign w:val="center"/>
          </w:tcPr>
          <w:p w14:paraId="559E0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职工满意度</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62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bl>
    <w:p w14:paraId="66F2D849">
      <w:pPr>
        <w:adjustRightInd w:val="0"/>
        <w:snapToGrid w:val="0"/>
        <w:spacing w:line="580" w:lineRule="exact"/>
        <w:rPr>
          <w:rFonts w:hint="default" w:ascii="Times New Roman" w:hAnsi="Times New Roman" w:eastAsia="仿宋_GB2312" w:cs="Times New Roman"/>
          <w:kern w:val="2"/>
          <w:sz w:val="32"/>
          <w:szCs w:val="32"/>
          <w:lang w:val="en-US" w:eastAsia="zh-CN" w:bidi="ar-SA"/>
        </w:rPr>
      </w:pPr>
    </w:p>
    <w:p w14:paraId="623EB1D4">
      <w:pPr>
        <w:adjustRightInd w:val="0"/>
        <w:snapToGrid w:val="0"/>
        <w:spacing w:line="520" w:lineRule="exact"/>
        <w:ind w:firstLine="664" w:firstLineChars="200"/>
        <w:rPr>
          <w:rFonts w:hint="default" w:ascii="TimesNewRoman" w:hAnsi="TimesNewRoman" w:cs="TimesNewRoman"/>
          <w:b/>
          <w:szCs w:val="32"/>
        </w:rPr>
      </w:pPr>
      <w:r>
        <w:rPr>
          <w:rFonts w:hint="default" w:ascii="TimesNewRoman" w:hAnsi="TimesNewRoman" w:cs="TimesNewRoman"/>
          <w:b/>
          <w:szCs w:val="32"/>
        </w:rPr>
        <w:t>（二）机关运行经费。</w:t>
      </w:r>
    </w:p>
    <w:p w14:paraId="4CB7CA83">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黄山市人大预算联网监督中心</w:t>
      </w:r>
      <w:r>
        <w:rPr>
          <w:rFonts w:hint="eastAsia" w:ascii="TimesNewRoman" w:hAnsi="TimesNewRoman" w:eastAsia="仿宋_GB2312" w:cs="TimesNewRoman"/>
          <w:sz w:val="32"/>
          <w:szCs w:val="32"/>
          <w:lang w:eastAsia="zh-CN"/>
        </w:rPr>
        <w:t>为非</w:t>
      </w:r>
      <w:r>
        <w:rPr>
          <w:rFonts w:hint="default" w:ascii="TimesNewRoman" w:hAnsi="TimesNewRoman" w:eastAsia="仿宋_GB2312" w:cs="TimesNewRoman"/>
          <w:sz w:val="32"/>
          <w:szCs w:val="32"/>
        </w:rPr>
        <w:t>参照公务员法管理的事业单位</w:t>
      </w:r>
      <w:r>
        <w:rPr>
          <w:rFonts w:hint="eastAsia" w:ascii="TimesNewRoman" w:hAnsi="TimesNewRoman" w:eastAsia="仿宋_GB2312" w:cs="TimesNewRoman"/>
          <w:sz w:val="32"/>
          <w:szCs w:val="32"/>
          <w:lang w:eastAsia="zh-CN"/>
        </w:rPr>
        <w:t>，按照部门预算机关运行经费口径，</w:t>
      </w:r>
      <w:r>
        <w:rPr>
          <w:rFonts w:hint="default" w:ascii="TimesNewRoman" w:hAnsi="TimesNewRoman" w:eastAsia="仿宋_GB2312" w:cs="TimesNewRoman"/>
          <w:sz w:val="32"/>
          <w:szCs w:val="32"/>
          <w:lang w:val="en" w:eastAsia="zh-CN"/>
        </w:rPr>
        <w:t>2024</w:t>
      </w:r>
      <w:r>
        <w:rPr>
          <w:rFonts w:hint="eastAsia" w:ascii="TimesNewRoman" w:hAnsi="TimesNewRoman" w:eastAsia="仿宋_GB2312" w:cs="TimesNewRoman"/>
          <w:sz w:val="32"/>
          <w:szCs w:val="32"/>
          <w:lang w:val="en-US" w:eastAsia="zh-CN"/>
        </w:rPr>
        <w:t>年</w:t>
      </w:r>
      <w:r>
        <w:rPr>
          <w:rFonts w:hint="eastAsia" w:ascii="TimesNewRoman" w:hAnsi="TimesNewRoman" w:eastAsia="仿宋_GB2312" w:cs="TimesNewRoman"/>
          <w:sz w:val="32"/>
          <w:szCs w:val="32"/>
          <w:lang w:eastAsia="zh-CN"/>
        </w:rPr>
        <w:t>无机关运行经费财政拨款预算。</w:t>
      </w:r>
    </w:p>
    <w:p w14:paraId="0E883B60">
      <w:pPr>
        <w:keepNext w:val="0"/>
        <w:keepLines w:val="0"/>
        <w:pageBreakBefore w:val="0"/>
        <w:kinsoku/>
        <w:overflowPunct/>
        <w:topLinePunct w:val="0"/>
        <w:autoSpaceDE/>
        <w:autoSpaceDN/>
        <w:bidi w:val="0"/>
        <w:adjustRightInd w:val="0"/>
        <w:snapToGrid w:val="0"/>
        <w:spacing w:line="560" w:lineRule="exact"/>
        <w:ind w:firstLine="664" w:firstLineChars="200"/>
        <w:rPr>
          <w:rFonts w:hint="default" w:ascii="TimesNewRoman" w:hAnsi="TimesNewRoman" w:cs="TimesNewRoman"/>
          <w:b/>
          <w:szCs w:val="32"/>
        </w:rPr>
      </w:pPr>
      <w:r>
        <w:rPr>
          <w:rFonts w:hint="default" w:ascii="TimesNewRoman" w:hAnsi="TimesNewRoman" w:cs="TimesNewRoman"/>
          <w:b/>
          <w:szCs w:val="32"/>
        </w:rPr>
        <w:t>（三）政府采购情况。</w:t>
      </w:r>
    </w:p>
    <w:p w14:paraId="3FED2127">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lang w:val="en-US" w:eastAsia="zh-CN"/>
        </w:rPr>
      </w:pP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lang w:val="en" w:eastAsia="zh-CN"/>
        </w:rPr>
        <w:t>2024</w:t>
      </w:r>
      <w:r>
        <w:rPr>
          <w:rFonts w:hint="default" w:ascii="TimesNewRoman" w:hAnsi="TimesNewRoman" w:eastAsia="仿宋_GB2312" w:cs="TimesNewRoman"/>
          <w:sz w:val="32"/>
          <w:szCs w:val="32"/>
          <w:lang w:val="en-US" w:eastAsia="zh-CN"/>
        </w:rPr>
        <w:t>年政府采购预算</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lang w:val="en-US" w:eastAsia="zh-CN"/>
        </w:rPr>
        <w:t>万元。其中：政府采购货物预算</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lang w:val="en-US" w:eastAsia="zh-CN"/>
        </w:rPr>
        <w:t>万元，政府采购工程预算</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lang w:val="en-US" w:eastAsia="zh-CN"/>
        </w:rPr>
        <w:t>万元，政府采购服务预算</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lang w:val="en-US" w:eastAsia="zh-CN"/>
        </w:rPr>
        <w:t>万元。</w:t>
      </w:r>
    </w:p>
    <w:p w14:paraId="207245CE">
      <w:pPr>
        <w:keepNext w:val="0"/>
        <w:keepLines w:val="0"/>
        <w:pageBreakBefore w:val="0"/>
        <w:kinsoku/>
        <w:overflowPunct/>
        <w:topLinePunct w:val="0"/>
        <w:autoSpaceDE/>
        <w:autoSpaceDN/>
        <w:bidi w:val="0"/>
        <w:adjustRightInd w:val="0"/>
        <w:snapToGrid w:val="0"/>
        <w:spacing w:line="560" w:lineRule="exact"/>
        <w:ind w:firstLine="664" w:firstLineChars="200"/>
        <w:rPr>
          <w:rFonts w:hint="default" w:ascii="TimesNewRoman" w:hAnsi="TimesNewRoman" w:cs="TimesNewRoman"/>
          <w:b/>
          <w:szCs w:val="32"/>
        </w:rPr>
      </w:pPr>
      <w:r>
        <w:rPr>
          <w:rFonts w:hint="default" w:ascii="TimesNewRoman" w:hAnsi="TimesNewRoman" w:cs="TimesNewRoman"/>
          <w:b/>
          <w:szCs w:val="32"/>
        </w:rPr>
        <w:t>（四）国有资产占有使用情况。</w:t>
      </w:r>
    </w:p>
    <w:p w14:paraId="206FE97D">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eastAsia" w:ascii="TimesNewRoman" w:hAnsi="TimesNewRoman" w:eastAsia="仿宋_GB2312" w:cs="TimesNewRoman"/>
          <w:sz w:val="32"/>
          <w:szCs w:val="32"/>
          <w:lang w:val="en-US" w:eastAsia="zh-CN"/>
        </w:rPr>
      </w:pPr>
      <w:r>
        <w:rPr>
          <w:rFonts w:hint="eastAsia" w:ascii="TimesNewRoman" w:hAnsi="TimesNewRoman" w:eastAsia="仿宋_GB2312" w:cs="TimesNewRoman"/>
          <w:sz w:val="32"/>
          <w:szCs w:val="32"/>
          <w:lang w:val="en-US" w:eastAsia="zh-CN"/>
        </w:rPr>
        <w:t>截至</w:t>
      </w:r>
      <w:r>
        <w:rPr>
          <w:rFonts w:hint="default" w:ascii="TimesNewRoman" w:hAnsi="TimesNewRoman" w:eastAsia="仿宋_GB2312" w:cs="TimesNewRoman"/>
          <w:sz w:val="32"/>
          <w:szCs w:val="32"/>
          <w:lang w:val="en" w:eastAsia="zh-CN"/>
        </w:rPr>
        <w:t>2023</w:t>
      </w:r>
      <w:r>
        <w:rPr>
          <w:rFonts w:hint="eastAsia" w:ascii="TimesNewRoman" w:hAnsi="TimesNewRoman" w:eastAsia="仿宋_GB2312" w:cs="TimesNewRoman"/>
          <w:sz w:val="32"/>
          <w:szCs w:val="32"/>
          <w:lang w:val="en-US" w:eastAsia="zh-CN"/>
        </w:rPr>
        <w:t>年12月31日，黄山市人大预算联网监督中心固定资产总金额0.75万元，较上年增加0.75万元，其中，土地、房屋及构筑物0万元、通用设备0万元、专用设备0万元、其他资产0.75万元。</w:t>
      </w:r>
    </w:p>
    <w:p w14:paraId="2D6D4888">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eastAsia" w:ascii="TimesNewRoman" w:hAnsi="TimesNewRoman" w:eastAsia="仿宋_GB2312" w:cs="TimesNewRoman"/>
          <w:sz w:val="32"/>
          <w:szCs w:val="32"/>
          <w:lang w:val="en-US" w:eastAsia="zh-CN"/>
        </w:rPr>
      </w:pPr>
      <w:r>
        <w:rPr>
          <w:rFonts w:hint="eastAsia" w:ascii="TimesNewRoman" w:hAnsi="TimesNewRoman" w:eastAsia="仿宋_GB2312" w:cs="TimesNewRoman"/>
          <w:sz w:val="32"/>
          <w:szCs w:val="32"/>
          <w:lang w:val="en-US" w:eastAsia="zh-CN"/>
        </w:rPr>
        <w:t>未车改事业单位车辆0辆，其中，一般公务用车0辆。</w:t>
      </w:r>
    </w:p>
    <w:p w14:paraId="0BD03F3F">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其中：厅级领导干部用车0辆、一般公</w:t>
      </w:r>
      <w:r>
        <w:rPr>
          <w:rFonts w:hint="eastAsia" w:ascii="TimesNewRoman" w:hAnsi="TimesNewRoman" w:eastAsia="仿宋_GB2312" w:cs="TimesNewRoman"/>
          <w:sz w:val="32"/>
          <w:szCs w:val="32"/>
        </w:rPr>
        <w:t>务用车</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辆、执法执勤用车</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辆、特种专业技术用车</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辆、其他用车</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辆。</w:t>
      </w:r>
    </w:p>
    <w:p w14:paraId="51DDCFD0">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default" w:ascii="TimesNewRoman" w:hAnsi="TimesNewRoman" w:eastAsia="仿宋_GB2312" w:cs="TimesNewRoman"/>
          <w:sz w:val="32"/>
          <w:szCs w:val="32"/>
        </w:rPr>
        <w:t>截至</w:t>
      </w:r>
      <w:r>
        <w:rPr>
          <w:rFonts w:hint="default" w:ascii="TimesNewRoman" w:hAnsi="TimesNewRoman" w:eastAsia="仿宋_GB2312" w:cs="TimesNewRoman"/>
          <w:sz w:val="32"/>
          <w:szCs w:val="32"/>
          <w:lang w:val="en"/>
        </w:rPr>
        <w:t>2023</w:t>
      </w:r>
      <w:r>
        <w:rPr>
          <w:rFonts w:hint="eastAsia" w:ascii="TimesNewRoman" w:hAnsi="TimesNewRoman" w:eastAsia="仿宋_GB2312" w:cs="TimesNewRoman"/>
          <w:sz w:val="32"/>
          <w:szCs w:val="32"/>
        </w:rPr>
        <w:t>年</w:t>
      </w:r>
      <w:r>
        <w:rPr>
          <w:rFonts w:hint="default" w:ascii="TimesNewRoman" w:hAnsi="TimesNewRoman" w:eastAsia="仿宋_GB2312" w:cs="TimesNewRoman"/>
          <w:sz w:val="32"/>
          <w:szCs w:val="32"/>
        </w:rPr>
        <w:t>12月31日，</w:t>
      </w:r>
      <w:r>
        <w:rPr>
          <w:rFonts w:hint="eastAsia" w:ascii="TimesNewRoman" w:hAnsi="TimesNewRoman" w:eastAsia="仿宋_GB2312" w:cs="TimesNewRoman"/>
          <w:sz w:val="32"/>
          <w:szCs w:val="32"/>
        </w:rPr>
        <w:t>单位价值50万元以上的通用设备</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台（套），单位价值100万元以上的专用设备</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台（套）。</w:t>
      </w:r>
    </w:p>
    <w:p w14:paraId="38CB1342">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rPr>
      </w:pP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w:t>
      </w: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rPr>
        <w:t>预算安排购置车辆0辆，购置费0万元。</w:t>
      </w:r>
      <w:r>
        <w:rPr>
          <w:rFonts w:hint="eastAsia" w:ascii="TimesNewRoman" w:hAnsi="TimesNewRoman" w:eastAsia="仿宋_GB2312" w:cs="TimesNewRoman"/>
          <w:sz w:val="32"/>
          <w:szCs w:val="32"/>
          <w:lang w:eastAsia="zh-CN"/>
        </w:rPr>
        <w:t>其中：</w:t>
      </w:r>
      <w:r>
        <w:rPr>
          <w:rFonts w:hint="default" w:ascii="TimesNewRoman" w:hAnsi="TimesNewRoman" w:eastAsia="仿宋_GB2312" w:cs="TimesNewRoman"/>
          <w:sz w:val="32"/>
          <w:szCs w:val="32"/>
        </w:rPr>
        <w:t>：一般公务用车</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辆、执法执勤用车</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辆、特种专业技术用车</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辆、其他用车</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rPr>
        <w:t>辆</w:t>
      </w:r>
      <w:r>
        <w:rPr>
          <w:rFonts w:hint="eastAsia" w:ascii="TimesNewRoman" w:hAnsi="TimesNewRoman" w:eastAsia="仿宋_GB2312" w:cs="TimesNewRoman"/>
          <w:sz w:val="32"/>
          <w:szCs w:val="32"/>
        </w:rPr>
        <w:t>。</w:t>
      </w:r>
    </w:p>
    <w:p w14:paraId="6707DD82">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eastAsia" w:ascii="TimesNewRoman" w:hAnsi="TimesNewRoman" w:eastAsia="仿宋_GB2312" w:cs="TimesNewRoman"/>
          <w:sz w:val="32"/>
          <w:szCs w:val="32"/>
        </w:rPr>
      </w:pP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w:t>
      </w:r>
      <w:r>
        <w:rPr>
          <w:rFonts w:hint="eastAsia" w:ascii="TimesNewRoman" w:hAnsi="TimesNewRoman" w:eastAsia="仿宋_GB2312" w:cs="TimesNewRoman"/>
          <w:sz w:val="32"/>
          <w:szCs w:val="32"/>
          <w:lang w:val="en-US" w:eastAsia="zh-CN"/>
        </w:rPr>
        <w:t>黄山市人大预算联网监督中心</w:t>
      </w:r>
      <w:r>
        <w:rPr>
          <w:rFonts w:hint="default" w:ascii="TimesNewRoman" w:hAnsi="TimesNewRoman" w:eastAsia="仿宋_GB2312" w:cs="TimesNewRoman"/>
          <w:sz w:val="32"/>
          <w:szCs w:val="32"/>
        </w:rPr>
        <w:t>预算</w:t>
      </w:r>
      <w:r>
        <w:rPr>
          <w:rFonts w:hint="eastAsia" w:ascii="TimesNewRoman" w:hAnsi="TimesNewRoman" w:eastAsia="仿宋_GB2312" w:cs="TimesNewRoman"/>
          <w:sz w:val="32"/>
          <w:szCs w:val="32"/>
        </w:rPr>
        <w:t>安排购置单位价值50万元以上的通用设备</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台（套），购置费</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万元；安排购置单位价值100万元以上专用设备*台（套），购置费</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w:t>
      </w:r>
    </w:p>
    <w:p w14:paraId="2E79CB03">
      <w:pPr>
        <w:keepNext w:val="0"/>
        <w:keepLines w:val="0"/>
        <w:pageBreakBefore w:val="0"/>
        <w:kinsoku/>
        <w:overflowPunct/>
        <w:topLinePunct w:val="0"/>
        <w:autoSpaceDE/>
        <w:autoSpaceDN/>
        <w:bidi w:val="0"/>
        <w:adjustRightInd w:val="0"/>
        <w:snapToGrid w:val="0"/>
        <w:spacing w:line="560" w:lineRule="exact"/>
        <w:ind w:firstLine="664" w:firstLineChars="200"/>
        <w:rPr>
          <w:rFonts w:hint="default" w:ascii="TimesNewRoman" w:hAnsi="TimesNewRoman" w:cs="TimesNewRoman"/>
          <w:b/>
          <w:szCs w:val="32"/>
        </w:rPr>
      </w:pPr>
      <w:r>
        <w:rPr>
          <w:rFonts w:hint="default" w:ascii="TimesNewRoman" w:hAnsi="TimesNewRoman" w:cs="TimesNewRoman"/>
          <w:b/>
          <w:szCs w:val="32"/>
        </w:rPr>
        <w:t>（五）绩效目标设置情况。</w:t>
      </w:r>
    </w:p>
    <w:p w14:paraId="33122705">
      <w:pPr>
        <w:pStyle w:val="7"/>
        <w:keepNext w:val="0"/>
        <w:keepLines w:val="0"/>
        <w:pageBreakBefore w:val="0"/>
        <w:kinsoku/>
        <w:overflowPunct/>
        <w:topLinePunct w:val="0"/>
        <w:autoSpaceDE/>
        <w:autoSpaceDN/>
        <w:bidi w:val="0"/>
        <w:adjustRightInd w:val="0"/>
        <w:snapToGrid w:val="0"/>
        <w:spacing w:line="560" w:lineRule="exact"/>
        <w:ind w:firstLine="650" w:firstLineChars="196"/>
        <w:rPr>
          <w:rFonts w:hint="default" w:ascii="TimesNewRoman" w:hAnsi="TimesNewRoman" w:eastAsia="仿宋_GB2312" w:cs="TimesNewRoman"/>
          <w:sz w:val="32"/>
          <w:szCs w:val="32"/>
          <w:lang w:val="en" w:eastAsia="zh-CN"/>
        </w:rPr>
      </w:pPr>
      <w:r>
        <w:rPr>
          <w:rFonts w:hint="default" w:ascii="TimesNewRoman" w:hAnsi="TimesNewRoman" w:eastAsia="仿宋_GB2312" w:cs="TimesNewRoman"/>
          <w:sz w:val="32"/>
          <w:szCs w:val="32"/>
          <w:lang w:val="en" w:eastAsia="zh-CN"/>
        </w:rPr>
        <w:t>2024年，</w:t>
      </w:r>
      <w:r>
        <w:rPr>
          <w:rFonts w:hint="eastAsia" w:ascii="TimesNewRoman" w:hAnsi="TimesNewRoman" w:eastAsia="仿宋_GB2312" w:cs="TimesNewRoman"/>
          <w:sz w:val="32"/>
          <w:szCs w:val="32"/>
          <w:lang w:val="en-US" w:eastAsia="zh-CN"/>
        </w:rPr>
        <w:t>黄山市人大预算联网监督中心1</w:t>
      </w:r>
      <w:r>
        <w:rPr>
          <w:rFonts w:hint="default" w:ascii="TimesNewRoman" w:hAnsi="TimesNewRoman" w:eastAsia="仿宋_GB2312" w:cs="TimesNewRoman"/>
          <w:sz w:val="32"/>
          <w:szCs w:val="32"/>
          <w:lang w:val="en" w:eastAsia="zh-CN"/>
        </w:rPr>
        <w:t>个项目实行了绩效目标管理，涉及一般公共预算当年财政拨款</w:t>
      </w:r>
      <w:r>
        <w:rPr>
          <w:rFonts w:hint="eastAsia" w:ascii="TimesNewRoman" w:hAnsi="TimesNewRoman" w:eastAsia="仿宋_GB2312" w:cs="TimesNewRoman"/>
          <w:sz w:val="32"/>
          <w:szCs w:val="32"/>
          <w:lang w:val="en-US" w:eastAsia="zh-CN"/>
        </w:rPr>
        <w:t>4.75</w:t>
      </w:r>
      <w:r>
        <w:rPr>
          <w:rFonts w:hint="default" w:ascii="TimesNewRoman" w:hAnsi="TimesNewRoman" w:eastAsia="仿宋_GB2312" w:cs="TimesNewRoman"/>
          <w:sz w:val="32"/>
          <w:szCs w:val="32"/>
          <w:lang w:val="en" w:eastAsia="zh-CN"/>
        </w:rPr>
        <w:t>万元、政府性基金预算当年财政拨款</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lang w:val="en" w:eastAsia="zh-CN"/>
        </w:rPr>
        <w:t>万元、国有资本经营预算当年财政拨款</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lang w:val="en" w:eastAsia="zh-CN"/>
        </w:rPr>
        <w:t>万元、财政专户管理资金当年安排</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lang w:val="en" w:eastAsia="zh-CN"/>
        </w:rPr>
        <w:t>万元和单位资金当年安排</w:t>
      </w:r>
      <w:r>
        <w:rPr>
          <w:rFonts w:hint="eastAsia" w:ascii="TimesNewRoman" w:hAnsi="TimesNewRoman" w:eastAsia="仿宋_GB2312" w:cs="TimesNewRoman"/>
          <w:sz w:val="32"/>
          <w:szCs w:val="32"/>
          <w:lang w:val="en-US" w:eastAsia="zh-CN"/>
        </w:rPr>
        <w:t>0</w:t>
      </w:r>
      <w:r>
        <w:rPr>
          <w:rFonts w:hint="default" w:ascii="TimesNewRoman" w:hAnsi="TimesNewRoman" w:eastAsia="仿宋_GB2312" w:cs="TimesNewRoman"/>
          <w:sz w:val="32"/>
          <w:szCs w:val="32"/>
          <w:lang w:val="en" w:eastAsia="zh-CN"/>
        </w:rPr>
        <w:t>万元。</w:t>
      </w:r>
    </w:p>
    <w:p w14:paraId="6918998C">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 New Roman" w:hAnsi="Times New Roman" w:eastAsia="仿宋_GB2312" w:cs="Times New Roman"/>
          <w:kern w:val="2"/>
          <w:sz w:val="32"/>
          <w:szCs w:val="32"/>
          <w:lang w:val="en" w:eastAsia="zh-CN" w:bidi="ar-SA"/>
        </w:rPr>
      </w:pPr>
    </w:p>
    <w:p w14:paraId="47BC8E6E">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 New Roman" w:hAnsi="Times New Roman" w:eastAsia="仿宋_GB2312" w:cs="Times New Roman"/>
          <w:kern w:val="2"/>
          <w:sz w:val="32"/>
          <w:szCs w:val="32"/>
          <w:lang w:val="en" w:eastAsia="zh-CN" w:bidi="ar-SA"/>
        </w:rPr>
      </w:pPr>
    </w:p>
    <w:p w14:paraId="6165800E">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 New Roman" w:hAnsi="Times New Roman" w:eastAsia="仿宋_GB2312" w:cs="Times New Roman"/>
          <w:kern w:val="2"/>
          <w:sz w:val="32"/>
          <w:szCs w:val="32"/>
          <w:lang w:val="en" w:eastAsia="zh-CN" w:bidi="ar-SA"/>
        </w:rPr>
      </w:pPr>
    </w:p>
    <w:p w14:paraId="6B74A6C7">
      <w:pPr>
        <w:keepNext w:val="0"/>
        <w:keepLines w:val="0"/>
        <w:pageBreakBefore w:val="0"/>
        <w:kinsoku/>
        <w:overflowPunct/>
        <w:topLinePunct w:val="0"/>
        <w:autoSpaceDE/>
        <w:autoSpaceDN/>
        <w:bidi w:val="0"/>
        <w:adjustRightInd w:val="0"/>
        <w:snapToGrid w:val="0"/>
        <w:spacing w:line="560" w:lineRule="exact"/>
        <w:jc w:val="both"/>
        <w:rPr>
          <w:rFonts w:hint="default" w:ascii="TimesNewRoman" w:hAnsi="TimesNewRoman" w:eastAsia="黑体" w:cs="TimesNewRoman"/>
          <w:sz w:val="36"/>
          <w:szCs w:val="36"/>
        </w:rPr>
      </w:pPr>
    </w:p>
    <w:p w14:paraId="46CF361F">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sz w:val="36"/>
          <w:szCs w:val="36"/>
        </w:rPr>
      </w:pPr>
      <w:r>
        <w:rPr>
          <w:rFonts w:hint="default" w:ascii="TimesNewRoman" w:hAnsi="TimesNewRoman" w:eastAsia="黑体" w:cs="TimesNewRoman"/>
          <w:sz w:val="36"/>
          <w:szCs w:val="36"/>
        </w:rPr>
        <w:t>第四部分 名词解释</w:t>
      </w:r>
    </w:p>
    <w:p w14:paraId="51C69EAE">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szCs w:val="32"/>
        </w:rPr>
      </w:pPr>
    </w:p>
    <w:p w14:paraId="7FF20899">
      <w:pPr>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szCs w:val="32"/>
        </w:rPr>
      </w:pPr>
      <w:r>
        <w:rPr>
          <w:rFonts w:hint="default" w:ascii="TimesNewRoman" w:hAnsi="TimesNewRoman" w:eastAsia="黑体" w:cs="TimesNewRoman"/>
          <w:szCs w:val="32"/>
        </w:rPr>
        <w:t>一、财政拨款收入</w:t>
      </w:r>
      <w:r>
        <w:rPr>
          <w:rFonts w:hint="default" w:ascii="TimesNewRoman" w:hAnsi="TimesNewRoman" w:cs="TimesNewRoman"/>
          <w:b/>
          <w:szCs w:val="32"/>
        </w:rPr>
        <w:t>：</w:t>
      </w:r>
      <w:r>
        <w:rPr>
          <w:rFonts w:hint="default" w:ascii="TimesNewRoman" w:hAnsi="TimesNewRoman" w:cs="TimesNewRoman"/>
          <w:szCs w:val="32"/>
        </w:rPr>
        <w:t>指部门或单位从同级财政部门取得的财政预算资金。</w:t>
      </w:r>
    </w:p>
    <w:p w14:paraId="4E76CB2E">
      <w:pPr>
        <w:pStyle w:val="7"/>
        <w:keepNext w:val="0"/>
        <w:keepLines w:val="0"/>
        <w:pageBreakBefore w:val="0"/>
        <w:kinsoku/>
        <w:overflowPunct/>
        <w:topLinePunct w:val="0"/>
        <w:autoSpaceDE/>
        <w:autoSpaceDN/>
        <w:bidi w:val="0"/>
        <w:adjustRightInd w:val="0"/>
        <w:snapToGrid w:val="0"/>
        <w:spacing w:line="560" w:lineRule="exact"/>
        <w:rPr>
          <w:rFonts w:hint="default" w:ascii="TimesNewRoman" w:hAnsi="TimesNewRoman" w:eastAsia="仿宋_GB2312" w:cs="TimesNewRoman"/>
          <w:sz w:val="32"/>
          <w:szCs w:val="32"/>
        </w:rPr>
      </w:pPr>
      <w:r>
        <w:rPr>
          <w:rFonts w:hint="eastAsia" w:ascii="TimesNewRoman" w:hAnsi="TimesNewRoman" w:eastAsia="黑体" w:cs="TimesNewRoman"/>
          <w:sz w:val="32"/>
          <w:szCs w:val="32"/>
          <w:lang w:val="en-US" w:eastAsia="zh-CN"/>
        </w:rPr>
        <w:t>二</w:t>
      </w:r>
      <w:r>
        <w:rPr>
          <w:rFonts w:hint="default" w:ascii="TimesNewRoman" w:hAnsi="TimesNewRoman" w:eastAsia="黑体" w:cs="TimesNewRoman"/>
          <w:sz w:val="32"/>
          <w:szCs w:val="32"/>
        </w:rPr>
        <w:t>、基本支出</w:t>
      </w:r>
      <w:r>
        <w:rPr>
          <w:rFonts w:hint="default" w:ascii="TimesNewRoman" w:hAnsi="TimesNewRoman" w:eastAsia="仿宋_GB2312" w:cs="TimesNewRoman"/>
          <w:b/>
          <w:sz w:val="32"/>
          <w:szCs w:val="32"/>
        </w:rPr>
        <w:t>：</w:t>
      </w:r>
      <w:r>
        <w:rPr>
          <w:rFonts w:hint="default" w:ascii="TimesNewRoman" w:hAnsi="TimesNewRoman" w:eastAsia="仿宋_GB2312" w:cs="TimesNewRoman"/>
          <w:sz w:val="32"/>
          <w:szCs w:val="32"/>
        </w:rPr>
        <w:t>指为保障机构正常运转、完成日常工作任务而发生的人员支出和公用支出。</w:t>
      </w:r>
    </w:p>
    <w:p w14:paraId="35EBD71A">
      <w:pPr>
        <w:pStyle w:val="7"/>
        <w:keepNext w:val="0"/>
        <w:keepLines w:val="0"/>
        <w:pageBreakBefore w:val="0"/>
        <w:kinsoku/>
        <w:overflowPunct/>
        <w:topLinePunct w:val="0"/>
        <w:autoSpaceDE/>
        <w:autoSpaceDN/>
        <w:bidi w:val="0"/>
        <w:spacing w:line="560" w:lineRule="exact"/>
        <w:rPr>
          <w:rFonts w:hint="default" w:ascii="TimesNewRoman" w:hAnsi="TimesNewRoman" w:cs="TimesNewRoman"/>
        </w:rPr>
      </w:pPr>
      <w:r>
        <w:rPr>
          <w:rFonts w:hint="eastAsia" w:ascii="TimesNewRoman" w:hAnsi="TimesNewRoman" w:eastAsia="黑体" w:cs="TimesNewRoman"/>
          <w:sz w:val="32"/>
          <w:szCs w:val="32"/>
          <w:lang w:val="en-US" w:eastAsia="zh-CN"/>
        </w:rPr>
        <w:t>三</w:t>
      </w:r>
      <w:r>
        <w:rPr>
          <w:rFonts w:hint="default" w:ascii="TimesNewRoman" w:hAnsi="TimesNewRoman" w:eastAsia="黑体" w:cs="TimesNewRoman"/>
          <w:sz w:val="32"/>
          <w:szCs w:val="32"/>
        </w:rPr>
        <w:t>、项目支出</w:t>
      </w:r>
      <w:r>
        <w:rPr>
          <w:rFonts w:hint="default" w:ascii="TimesNewRoman" w:hAnsi="TimesNewRoman" w:eastAsia="仿宋_GB2312" w:cs="TimesNewRoman"/>
          <w:b/>
          <w:sz w:val="32"/>
          <w:szCs w:val="32"/>
        </w:rPr>
        <w:t>：</w:t>
      </w:r>
      <w:r>
        <w:rPr>
          <w:rFonts w:hint="default" w:ascii="TimesNewRoman" w:hAnsi="TimesNewRoman" w:eastAsia="仿宋_GB2312" w:cs="TimesNewRoman"/>
          <w:sz w:val="32"/>
          <w:szCs w:val="32"/>
        </w:rPr>
        <w:t>指在除基本支出之外的支出，主要用于完成特定的工作任务和事业发展目标。</w:t>
      </w:r>
      <w:r>
        <w:rPr>
          <w:rFonts w:hint="default" w:ascii="TimesNewRoman" w:hAnsi="TimesNewRoman" w:eastAsia="仿宋_GB2312" w:cs="TimesNewRoman"/>
          <w:sz w:val="32"/>
          <w:szCs w:val="32"/>
        </w:rPr>
        <w:br w:type="textWrapping"/>
      </w:r>
      <w:r>
        <w:rPr>
          <w:rFonts w:hint="default" w:ascii="TimesNewRoman" w:hAnsi="TimesNewRoman" w:eastAsia="黑体" w:cs="TimesNewRoman"/>
          <w:sz w:val="32"/>
          <w:szCs w:val="32"/>
        </w:rPr>
        <w:t xml:space="preserve">   </w:t>
      </w:r>
    </w:p>
    <w:p w14:paraId="0196335C">
      <w:pPr>
        <w:keepNext w:val="0"/>
        <w:keepLines w:val="0"/>
        <w:pageBreakBefore w:val="0"/>
        <w:kinsoku/>
        <w:overflowPunct/>
        <w:topLinePunct w:val="0"/>
        <w:autoSpaceDE/>
        <w:autoSpaceDN/>
        <w:bidi w:val="0"/>
        <w:spacing w:line="560" w:lineRule="exact"/>
        <w:rPr>
          <w:rFonts w:hint="default" w:ascii="TimesNewRoman" w:hAnsi="TimesNewRoman" w:eastAsia="黑体" w:cs="TimesNewRoman"/>
          <w:szCs w:val="32"/>
        </w:rPr>
      </w:pPr>
    </w:p>
    <w:p w14:paraId="2B16AFD3">
      <w:pPr>
        <w:keepNext w:val="0"/>
        <w:keepLines w:val="0"/>
        <w:pageBreakBefore w:val="0"/>
        <w:kinsoku/>
        <w:overflowPunct/>
        <w:topLinePunct w:val="0"/>
        <w:autoSpaceDE/>
        <w:autoSpaceDN/>
        <w:bidi w:val="0"/>
        <w:spacing w:line="560" w:lineRule="exact"/>
        <w:jc w:val="center"/>
        <w:rPr>
          <w:rFonts w:hint="default" w:ascii="Times New Roman" w:hAnsi="Times New Roman" w:eastAsia="仿宋_GB2312" w:cs="Times New Roman"/>
          <w:kern w:val="0"/>
          <w:sz w:val="32"/>
          <w:szCs w:val="32"/>
          <w:lang w:val="en-US" w:eastAsia="zh-CN" w:bidi="ar-SA"/>
        </w:rPr>
      </w:pPr>
      <w:r>
        <w:rPr>
          <w:rFonts w:hint="eastAsia" w:cs="Times New Roman"/>
          <w:kern w:val="0"/>
          <w:sz w:val="32"/>
          <w:szCs w:val="32"/>
          <w:lang w:val="en-US" w:eastAsia="zh-CN" w:bidi="ar-SA"/>
        </w:rPr>
        <w:t xml:space="preserve">  </w:t>
      </w:r>
      <w:r>
        <w:rPr>
          <w:rFonts w:hint="eastAsia"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val="en-US" w:eastAsia="zh-CN" w:bidi="ar-SA"/>
        </w:rPr>
        <w:t>附件：</w:t>
      </w:r>
      <w:r>
        <w:rPr>
          <w:rFonts w:hint="eastAsia" w:ascii="Times New Roman" w:hAnsi="Times New Roman" w:eastAsia="仿宋_GB2312" w:cs="Times New Roman"/>
          <w:kern w:val="0"/>
          <w:sz w:val="32"/>
          <w:szCs w:val="32"/>
          <w:lang w:val="en-US" w:eastAsia="zh-CN" w:bidi="ar-SA"/>
        </w:rPr>
        <w:t>黄山市人大</w:t>
      </w:r>
      <w:r>
        <w:rPr>
          <w:rFonts w:hint="eastAsia" w:cs="Times New Roman"/>
          <w:kern w:val="0"/>
          <w:sz w:val="32"/>
          <w:szCs w:val="32"/>
          <w:lang w:val="en-US" w:eastAsia="zh-CN" w:bidi="ar-SA"/>
        </w:rPr>
        <w:t>预算联网监督中心</w:t>
      </w:r>
      <w:r>
        <w:rPr>
          <w:rFonts w:hint="default" w:ascii="Times New Roman" w:hAnsi="Times New Roman" w:eastAsia="仿宋_GB2312" w:cs="Times New Roman"/>
          <w:kern w:val="0"/>
          <w:sz w:val="32"/>
          <w:szCs w:val="32"/>
          <w:lang w:val="en-US" w:eastAsia="zh-CN" w:bidi="ar-SA"/>
        </w:rPr>
        <w:t>2024年度项目支出绩效目标</w:t>
      </w:r>
    </w:p>
    <w:p w14:paraId="411E4612">
      <w:pPr>
        <w:keepNext w:val="0"/>
        <w:keepLines w:val="0"/>
        <w:pageBreakBefore w:val="0"/>
        <w:kinsoku/>
        <w:overflowPunct/>
        <w:topLinePunct w:val="0"/>
        <w:autoSpaceDE/>
        <w:autoSpaceDN/>
        <w:bidi w:val="0"/>
        <w:spacing w:line="560" w:lineRule="exact"/>
        <w:rPr>
          <w:rFonts w:hint="default" w:ascii="TimesNewRoman" w:hAnsi="TimesNewRoman" w:eastAsia="黑体" w:cs="TimesNewRoman"/>
          <w:szCs w:val="32"/>
        </w:rPr>
      </w:pPr>
    </w:p>
    <w:p w14:paraId="3699F1EE">
      <w:pPr>
        <w:keepNext w:val="0"/>
        <w:keepLines w:val="0"/>
        <w:pageBreakBefore w:val="0"/>
        <w:kinsoku/>
        <w:overflowPunct/>
        <w:topLinePunct w:val="0"/>
        <w:autoSpaceDE/>
        <w:autoSpaceDN/>
        <w:bidi w:val="0"/>
        <w:spacing w:line="560" w:lineRule="exact"/>
        <w:rPr>
          <w:rFonts w:hint="default" w:ascii="TimesNewRoman" w:hAnsi="TimesNewRoman" w:eastAsia="黑体" w:cs="TimesNewRoman"/>
          <w:szCs w:val="32"/>
        </w:rPr>
      </w:pPr>
    </w:p>
    <w:p w14:paraId="211D929F">
      <w:pPr>
        <w:keepNext w:val="0"/>
        <w:keepLines w:val="0"/>
        <w:pageBreakBefore w:val="0"/>
        <w:kinsoku/>
        <w:overflowPunct/>
        <w:topLinePunct w:val="0"/>
        <w:autoSpaceDE/>
        <w:autoSpaceDN/>
        <w:bidi w:val="0"/>
        <w:spacing w:line="560" w:lineRule="exact"/>
        <w:rPr>
          <w:rFonts w:hint="default" w:ascii="TimesNewRoman" w:hAnsi="TimesNewRoman" w:eastAsia="黑体" w:cs="TimesNewRoman"/>
          <w:szCs w:val="32"/>
        </w:rPr>
      </w:pPr>
    </w:p>
    <w:p w14:paraId="6135957D">
      <w:pPr>
        <w:keepNext w:val="0"/>
        <w:keepLines w:val="0"/>
        <w:pageBreakBefore w:val="0"/>
        <w:kinsoku/>
        <w:overflowPunct/>
        <w:topLinePunct w:val="0"/>
        <w:autoSpaceDE/>
        <w:autoSpaceDN/>
        <w:bidi w:val="0"/>
        <w:spacing w:line="560" w:lineRule="exact"/>
        <w:rPr>
          <w:rFonts w:hint="default" w:ascii="TimesNewRoman" w:hAnsi="TimesNewRoman" w:eastAsia="黑体" w:cs="TimesNewRoman"/>
          <w:szCs w:val="32"/>
        </w:rPr>
      </w:pPr>
    </w:p>
    <w:p w14:paraId="61028072">
      <w:pPr>
        <w:keepNext w:val="0"/>
        <w:keepLines w:val="0"/>
        <w:pageBreakBefore w:val="0"/>
        <w:kinsoku/>
        <w:overflowPunct/>
        <w:topLinePunct w:val="0"/>
        <w:autoSpaceDE/>
        <w:autoSpaceDN/>
        <w:bidi w:val="0"/>
        <w:spacing w:line="560" w:lineRule="exact"/>
        <w:rPr>
          <w:rFonts w:hint="default" w:ascii="TimesNewRoman" w:hAnsi="TimesNewRoman" w:eastAsia="黑体" w:cs="TimesNewRoman"/>
          <w:szCs w:val="32"/>
        </w:rPr>
      </w:pPr>
    </w:p>
    <w:p w14:paraId="1F3D1AC7">
      <w:pPr>
        <w:keepNext w:val="0"/>
        <w:keepLines w:val="0"/>
        <w:pageBreakBefore w:val="0"/>
        <w:kinsoku/>
        <w:overflowPunct/>
        <w:topLinePunct w:val="0"/>
        <w:autoSpaceDE/>
        <w:autoSpaceDN/>
        <w:bidi w:val="0"/>
        <w:spacing w:line="560" w:lineRule="exact"/>
        <w:rPr>
          <w:rFonts w:hint="default" w:ascii="TimesNewRoman" w:hAnsi="TimesNewRoman" w:eastAsia="黑体" w:cs="TimesNewRoman"/>
          <w:szCs w:val="32"/>
        </w:rPr>
      </w:pPr>
    </w:p>
    <w:p w14:paraId="522CD901">
      <w:pPr>
        <w:keepNext w:val="0"/>
        <w:keepLines w:val="0"/>
        <w:pageBreakBefore w:val="0"/>
        <w:kinsoku/>
        <w:overflowPunct/>
        <w:topLinePunct w:val="0"/>
        <w:autoSpaceDE/>
        <w:autoSpaceDN/>
        <w:bidi w:val="0"/>
        <w:spacing w:line="560" w:lineRule="exact"/>
        <w:outlineLvl w:val="0"/>
        <w:rPr>
          <w:rFonts w:hint="default" w:ascii="TimesNewRoman" w:hAnsi="TimesNewRoman" w:eastAsia="仿宋_GB2312" w:cs="TimesNewRoman"/>
          <w:sz w:val="32"/>
        </w:rPr>
      </w:pPr>
    </w:p>
    <w:sectPr>
      <w:pgSz w:w="11906"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437" w:charSpace="25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
    <w:altName w:val="Times New Roman"/>
    <w:panose1 w:val="02020603050405020304"/>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6C7C">
    <w:pPr>
      <w:pStyle w:val="5"/>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D0207">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258AF877">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516A">
    <w:pPr>
      <w:pStyle w:val="5"/>
      <w:ind w:right="360"/>
      <w:jc w:val="right"/>
      <w:rPr>
        <w:rFonts w:hint="eastAsia"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ED84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3ED84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5FDC0">
    <w:pPr>
      <w:pStyle w:val="5"/>
      <w:ind w:right="360"/>
      <w:jc w:val="right"/>
      <w:rPr>
        <w:rFonts w:hint="eastAsia" w:ascii="仿宋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4178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04178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3547C">
    <w:pPr>
      <w:pStyle w:val="5"/>
      <w:ind w:right="360"/>
      <w:jc w:val="right"/>
      <w:rPr>
        <w:rFonts w:hint="eastAsia" w:ascii="仿宋_GB2312"/>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FFF8C">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BEFFF8C">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CA7E">
    <w:pPr>
      <w:pStyle w:val="5"/>
      <w:ind w:right="360"/>
      <w:jc w:val="right"/>
      <w:rPr>
        <w:rFonts w:hint="eastAsia" w:ascii="仿宋_GB2312"/>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F7CAD">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BF7CAD">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59EAF"/>
    <w:multiLevelType w:val="singleLevel"/>
    <w:tmpl w:val="CEF59EAF"/>
    <w:lvl w:ilvl="0" w:tentative="0">
      <w:start w:val="2"/>
      <w:numFmt w:val="decimal"/>
      <w:suff w:val="nothing"/>
      <w:lvlText w:val="（%1）"/>
      <w:lvlJc w:val="left"/>
    </w:lvl>
  </w:abstractNum>
  <w:abstractNum w:abstractNumId="1">
    <w:nsid w:val="D8949704"/>
    <w:multiLevelType w:val="singleLevel"/>
    <w:tmpl w:val="D8949704"/>
    <w:lvl w:ilvl="0" w:tentative="0">
      <w:start w:val="4"/>
      <w:numFmt w:val="decimal"/>
      <w:suff w:val="nothing"/>
      <w:lvlText w:val="（%1）"/>
      <w:lvlJc w:val="left"/>
    </w:lvl>
  </w:abstractNum>
  <w:abstractNum w:abstractNumId="2">
    <w:nsid w:val="2520863E"/>
    <w:multiLevelType w:val="singleLevel"/>
    <w:tmpl w:val="2520863E"/>
    <w:lvl w:ilvl="0" w:tentative="0">
      <w:start w:val="12"/>
      <w:numFmt w:val="chineseCounting"/>
      <w:suff w:val="nothing"/>
      <w:lvlText w:val="%1、"/>
      <w:lvlJc w:val="left"/>
      <w:rPr>
        <w:rFonts w:hint="eastAsia"/>
      </w:rPr>
    </w:lvl>
  </w:abstractNum>
  <w:abstractNum w:abstractNumId="3">
    <w:nsid w:val="3AFDB242"/>
    <w:multiLevelType w:val="singleLevel"/>
    <w:tmpl w:val="3AFDB242"/>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66"/>
  <w:drawingGridVerticalSpacing w:val="21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TI5YWFiMTk5Y2YyNWIyYWRkN2UxZjliNmQyYzkifQ=="/>
  </w:docVars>
  <w:rsids>
    <w:rsidRoot w:val="00172A27"/>
    <w:rsid w:val="00000B53"/>
    <w:rsid w:val="0000211A"/>
    <w:rsid w:val="00002174"/>
    <w:rsid w:val="000023B0"/>
    <w:rsid w:val="00003353"/>
    <w:rsid w:val="0000448A"/>
    <w:rsid w:val="000044A1"/>
    <w:rsid w:val="0000635D"/>
    <w:rsid w:val="00007B08"/>
    <w:rsid w:val="000103D1"/>
    <w:rsid w:val="000113D3"/>
    <w:rsid w:val="0001202C"/>
    <w:rsid w:val="000120B3"/>
    <w:rsid w:val="00012142"/>
    <w:rsid w:val="00012A34"/>
    <w:rsid w:val="00012F42"/>
    <w:rsid w:val="00013B3C"/>
    <w:rsid w:val="0001546C"/>
    <w:rsid w:val="00015993"/>
    <w:rsid w:val="000164B9"/>
    <w:rsid w:val="000166EB"/>
    <w:rsid w:val="00016DE5"/>
    <w:rsid w:val="00017200"/>
    <w:rsid w:val="0001783A"/>
    <w:rsid w:val="00021009"/>
    <w:rsid w:val="000218A1"/>
    <w:rsid w:val="000218F0"/>
    <w:rsid w:val="00021AEF"/>
    <w:rsid w:val="000223C6"/>
    <w:rsid w:val="000224C4"/>
    <w:rsid w:val="00023611"/>
    <w:rsid w:val="00023673"/>
    <w:rsid w:val="000238CF"/>
    <w:rsid w:val="00023BD4"/>
    <w:rsid w:val="00023F8A"/>
    <w:rsid w:val="00024B05"/>
    <w:rsid w:val="000250B6"/>
    <w:rsid w:val="00025250"/>
    <w:rsid w:val="0002628A"/>
    <w:rsid w:val="00026A91"/>
    <w:rsid w:val="0003012D"/>
    <w:rsid w:val="000316C1"/>
    <w:rsid w:val="00031F6A"/>
    <w:rsid w:val="00032DA0"/>
    <w:rsid w:val="000335E7"/>
    <w:rsid w:val="00034E74"/>
    <w:rsid w:val="00035187"/>
    <w:rsid w:val="00036FBD"/>
    <w:rsid w:val="00037502"/>
    <w:rsid w:val="00040C93"/>
    <w:rsid w:val="00041200"/>
    <w:rsid w:val="000412BB"/>
    <w:rsid w:val="00041B52"/>
    <w:rsid w:val="00041C48"/>
    <w:rsid w:val="00044251"/>
    <w:rsid w:val="000444A4"/>
    <w:rsid w:val="000454EC"/>
    <w:rsid w:val="000456B0"/>
    <w:rsid w:val="00047C96"/>
    <w:rsid w:val="00050112"/>
    <w:rsid w:val="0005044C"/>
    <w:rsid w:val="00051289"/>
    <w:rsid w:val="00051A16"/>
    <w:rsid w:val="00051B0B"/>
    <w:rsid w:val="00052667"/>
    <w:rsid w:val="00053177"/>
    <w:rsid w:val="00053E75"/>
    <w:rsid w:val="00054342"/>
    <w:rsid w:val="0005518A"/>
    <w:rsid w:val="00055853"/>
    <w:rsid w:val="00055F8B"/>
    <w:rsid w:val="00055FBD"/>
    <w:rsid w:val="0005635D"/>
    <w:rsid w:val="00056559"/>
    <w:rsid w:val="0005680B"/>
    <w:rsid w:val="000577D9"/>
    <w:rsid w:val="000600D0"/>
    <w:rsid w:val="0006128D"/>
    <w:rsid w:val="000613EC"/>
    <w:rsid w:val="00063916"/>
    <w:rsid w:val="000646BF"/>
    <w:rsid w:val="000649BC"/>
    <w:rsid w:val="00066587"/>
    <w:rsid w:val="00066A20"/>
    <w:rsid w:val="0006704D"/>
    <w:rsid w:val="000673B7"/>
    <w:rsid w:val="00071D78"/>
    <w:rsid w:val="00072058"/>
    <w:rsid w:val="00072215"/>
    <w:rsid w:val="000737F1"/>
    <w:rsid w:val="00075A92"/>
    <w:rsid w:val="00076DFE"/>
    <w:rsid w:val="00077889"/>
    <w:rsid w:val="000778A2"/>
    <w:rsid w:val="00077A0D"/>
    <w:rsid w:val="00080FA2"/>
    <w:rsid w:val="00081B5B"/>
    <w:rsid w:val="0008387F"/>
    <w:rsid w:val="00083D73"/>
    <w:rsid w:val="00084396"/>
    <w:rsid w:val="00085D36"/>
    <w:rsid w:val="00085DE8"/>
    <w:rsid w:val="000917B1"/>
    <w:rsid w:val="000917F9"/>
    <w:rsid w:val="00091A6F"/>
    <w:rsid w:val="00091F29"/>
    <w:rsid w:val="00092603"/>
    <w:rsid w:val="000948EB"/>
    <w:rsid w:val="00094E4D"/>
    <w:rsid w:val="00095517"/>
    <w:rsid w:val="00096F17"/>
    <w:rsid w:val="00097469"/>
    <w:rsid w:val="000977B9"/>
    <w:rsid w:val="00097CBB"/>
    <w:rsid w:val="000A2295"/>
    <w:rsid w:val="000A35A0"/>
    <w:rsid w:val="000A3663"/>
    <w:rsid w:val="000A409D"/>
    <w:rsid w:val="000A46D6"/>
    <w:rsid w:val="000A51EF"/>
    <w:rsid w:val="000A5EB6"/>
    <w:rsid w:val="000A6106"/>
    <w:rsid w:val="000A655F"/>
    <w:rsid w:val="000A6DFD"/>
    <w:rsid w:val="000A7707"/>
    <w:rsid w:val="000B1D82"/>
    <w:rsid w:val="000B219B"/>
    <w:rsid w:val="000B25E9"/>
    <w:rsid w:val="000B5156"/>
    <w:rsid w:val="000B5171"/>
    <w:rsid w:val="000B53BD"/>
    <w:rsid w:val="000B595E"/>
    <w:rsid w:val="000B59B3"/>
    <w:rsid w:val="000B624F"/>
    <w:rsid w:val="000B6CB1"/>
    <w:rsid w:val="000B6DD5"/>
    <w:rsid w:val="000B73FC"/>
    <w:rsid w:val="000B779B"/>
    <w:rsid w:val="000B7D29"/>
    <w:rsid w:val="000C0E8C"/>
    <w:rsid w:val="000C2CCE"/>
    <w:rsid w:val="000C32D8"/>
    <w:rsid w:val="000C3878"/>
    <w:rsid w:val="000C3B02"/>
    <w:rsid w:val="000C44D4"/>
    <w:rsid w:val="000C4BE9"/>
    <w:rsid w:val="000C505F"/>
    <w:rsid w:val="000C5AD3"/>
    <w:rsid w:val="000C5CCD"/>
    <w:rsid w:val="000C71D1"/>
    <w:rsid w:val="000D0088"/>
    <w:rsid w:val="000D03D1"/>
    <w:rsid w:val="000D066A"/>
    <w:rsid w:val="000D3459"/>
    <w:rsid w:val="000D3CC2"/>
    <w:rsid w:val="000D5132"/>
    <w:rsid w:val="000D55D5"/>
    <w:rsid w:val="000D5845"/>
    <w:rsid w:val="000D5A17"/>
    <w:rsid w:val="000D5C27"/>
    <w:rsid w:val="000D6F59"/>
    <w:rsid w:val="000D718A"/>
    <w:rsid w:val="000E0598"/>
    <w:rsid w:val="000E0702"/>
    <w:rsid w:val="000E08ED"/>
    <w:rsid w:val="000E2BF4"/>
    <w:rsid w:val="000E2F1D"/>
    <w:rsid w:val="000E380E"/>
    <w:rsid w:val="000E5722"/>
    <w:rsid w:val="000E6047"/>
    <w:rsid w:val="000E6EED"/>
    <w:rsid w:val="000F0094"/>
    <w:rsid w:val="000F261F"/>
    <w:rsid w:val="000F3571"/>
    <w:rsid w:val="000F364A"/>
    <w:rsid w:val="000F4119"/>
    <w:rsid w:val="000F4575"/>
    <w:rsid w:val="000F4E5E"/>
    <w:rsid w:val="000F6748"/>
    <w:rsid w:val="000F787A"/>
    <w:rsid w:val="00100D4D"/>
    <w:rsid w:val="00101E74"/>
    <w:rsid w:val="00102247"/>
    <w:rsid w:val="0010266B"/>
    <w:rsid w:val="00103116"/>
    <w:rsid w:val="0010321E"/>
    <w:rsid w:val="001042E0"/>
    <w:rsid w:val="00105679"/>
    <w:rsid w:val="00105BA4"/>
    <w:rsid w:val="00105BB0"/>
    <w:rsid w:val="00105EFB"/>
    <w:rsid w:val="0010611A"/>
    <w:rsid w:val="00106B41"/>
    <w:rsid w:val="0011012F"/>
    <w:rsid w:val="00110A8F"/>
    <w:rsid w:val="00110CB2"/>
    <w:rsid w:val="00111777"/>
    <w:rsid w:val="00111FE5"/>
    <w:rsid w:val="00112AF4"/>
    <w:rsid w:val="00112BA7"/>
    <w:rsid w:val="00112D2B"/>
    <w:rsid w:val="0011305E"/>
    <w:rsid w:val="001133DC"/>
    <w:rsid w:val="00115C42"/>
    <w:rsid w:val="00115E1D"/>
    <w:rsid w:val="00117283"/>
    <w:rsid w:val="00117E69"/>
    <w:rsid w:val="00120290"/>
    <w:rsid w:val="00121BC7"/>
    <w:rsid w:val="001221EF"/>
    <w:rsid w:val="0012398E"/>
    <w:rsid w:val="001268E1"/>
    <w:rsid w:val="00126E58"/>
    <w:rsid w:val="00127B4E"/>
    <w:rsid w:val="001307BB"/>
    <w:rsid w:val="00130943"/>
    <w:rsid w:val="00131724"/>
    <w:rsid w:val="00134307"/>
    <w:rsid w:val="0013459E"/>
    <w:rsid w:val="00134FC3"/>
    <w:rsid w:val="001353F7"/>
    <w:rsid w:val="0013589D"/>
    <w:rsid w:val="00135B55"/>
    <w:rsid w:val="00136775"/>
    <w:rsid w:val="00136ABF"/>
    <w:rsid w:val="001407DF"/>
    <w:rsid w:val="00140CF5"/>
    <w:rsid w:val="00140D29"/>
    <w:rsid w:val="001415D2"/>
    <w:rsid w:val="0014166B"/>
    <w:rsid w:val="00141F90"/>
    <w:rsid w:val="00142117"/>
    <w:rsid w:val="00143C2E"/>
    <w:rsid w:val="0014462E"/>
    <w:rsid w:val="00144D5F"/>
    <w:rsid w:val="00145DD5"/>
    <w:rsid w:val="001460DA"/>
    <w:rsid w:val="0014773B"/>
    <w:rsid w:val="00147F45"/>
    <w:rsid w:val="001500B9"/>
    <w:rsid w:val="00151098"/>
    <w:rsid w:val="001514CB"/>
    <w:rsid w:val="00151577"/>
    <w:rsid w:val="001518AE"/>
    <w:rsid w:val="00152C54"/>
    <w:rsid w:val="001541E7"/>
    <w:rsid w:val="0015549B"/>
    <w:rsid w:val="00156777"/>
    <w:rsid w:val="00157459"/>
    <w:rsid w:val="00161427"/>
    <w:rsid w:val="001627DC"/>
    <w:rsid w:val="0016372D"/>
    <w:rsid w:val="0016580F"/>
    <w:rsid w:val="001661EE"/>
    <w:rsid w:val="0016663C"/>
    <w:rsid w:val="00166839"/>
    <w:rsid w:val="00166A3A"/>
    <w:rsid w:val="00166F4A"/>
    <w:rsid w:val="001675B1"/>
    <w:rsid w:val="00167A0A"/>
    <w:rsid w:val="00171095"/>
    <w:rsid w:val="00171C26"/>
    <w:rsid w:val="001721B9"/>
    <w:rsid w:val="001721C8"/>
    <w:rsid w:val="00172541"/>
    <w:rsid w:val="0017255A"/>
    <w:rsid w:val="00172776"/>
    <w:rsid w:val="00172A1D"/>
    <w:rsid w:val="00173146"/>
    <w:rsid w:val="001744E7"/>
    <w:rsid w:val="00174573"/>
    <w:rsid w:val="001762E3"/>
    <w:rsid w:val="00176519"/>
    <w:rsid w:val="00176905"/>
    <w:rsid w:val="00176F5E"/>
    <w:rsid w:val="001770B9"/>
    <w:rsid w:val="00177660"/>
    <w:rsid w:val="0017773D"/>
    <w:rsid w:val="00177793"/>
    <w:rsid w:val="001779B9"/>
    <w:rsid w:val="00177BF2"/>
    <w:rsid w:val="00180260"/>
    <w:rsid w:val="001805A4"/>
    <w:rsid w:val="00180A7D"/>
    <w:rsid w:val="00180FB6"/>
    <w:rsid w:val="001829F3"/>
    <w:rsid w:val="00182E7A"/>
    <w:rsid w:val="00185EF3"/>
    <w:rsid w:val="001871BF"/>
    <w:rsid w:val="0018764C"/>
    <w:rsid w:val="00187CA2"/>
    <w:rsid w:val="00191572"/>
    <w:rsid w:val="00192490"/>
    <w:rsid w:val="001926BA"/>
    <w:rsid w:val="00193759"/>
    <w:rsid w:val="00193DF7"/>
    <w:rsid w:val="0019434E"/>
    <w:rsid w:val="00194FE5"/>
    <w:rsid w:val="0019552F"/>
    <w:rsid w:val="00196480"/>
    <w:rsid w:val="00196CC9"/>
    <w:rsid w:val="00196CE3"/>
    <w:rsid w:val="001A0138"/>
    <w:rsid w:val="001A1F0F"/>
    <w:rsid w:val="001A2013"/>
    <w:rsid w:val="001A3E8D"/>
    <w:rsid w:val="001A40F9"/>
    <w:rsid w:val="001A44F8"/>
    <w:rsid w:val="001A4987"/>
    <w:rsid w:val="001A5374"/>
    <w:rsid w:val="001A7BB0"/>
    <w:rsid w:val="001A7C5A"/>
    <w:rsid w:val="001B239E"/>
    <w:rsid w:val="001B2C2E"/>
    <w:rsid w:val="001B2D16"/>
    <w:rsid w:val="001B2EA2"/>
    <w:rsid w:val="001B32ED"/>
    <w:rsid w:val="001B424B"/>
    <w:rsid w:val="001B4316"/>
    <w:rsid w:val="001B4415"/>
    <w:rsid w:val="001B444C"/>
    <w:rsid w:val="001B4F06"/>
    <w:rsid w:val="001B634A"/>
    <w:rsid w:val="001B67D9"/>
    <w:rsid w:val="001B7894"/>
    <w:rsid w:val="001C140B"/>
    <w:rsid w:val="001C1866"/>
    <w:rsid w:val="001C21D3"/>
    <w:rsid w:val="001C4561"/>
    <w:rsid w:val="001C4EC9"/>
    <w:rsid w:val="001C5DD1"/>
    <w:rsid w:val="001C6E8B"/>
    <w:rsid w:val="001C74A7"/>
    <w:rsid w:val="001C7738"/>
    <w:rsid w:val="001D1453"/>
    <w:rsid w:val="001D187A"/>
    <w:rsid w:val="001D2DA6"/>
    <w:rsid w:val="001D2F41"/>
    <w:rsid w:val="001D3647"/>
    <w:rsid w:val="001D3779"/>
    <w:rsid w:val="001D3E80"/>
    <w:rsid w:val="001D6644"/>
    <w:rsid w:val="001E018D"/>
    <w:rsid w:val="001E0D92"/>
    <w:rsid w:val="001E0E74"/>
    <w:rsid w:val="001E1358"/>
    <w:rsid w:val="001E17F4"/>
    <w:rsid w:val="001E2CC7"/>
    <w:rsid w:val="001E316C"/>
    <w:rsid w:val="001E3713"/>
    <w:rsid w:val="001E3E4F"/>
    <w:rsid w:val="001E49E2"/>
    <w:rsid w:val="001E4E01"/>
    <w:rsid w:val="001E4EE1"/>
    <w:rsid w:val="001E5FC1"/>
    <w:rsid w:val="001E62EB"/>
    <w:rsid w:val="001E66AA"/>
    <w:rsid w:val="001E6D27"/>
    <w:rsid w:val="001E7306"/>
    <w:rsid w:val="001F082C"/>
    <w:rsid w:val="001F17D9"/>
    <w:rsid w:val="001F1EAC"/>
    <w:rsid w:val="001F2226"/>
    <w:rsid w:val="001F24E8"/>
    <w:rsid w:val="001F28BF"/>
    <w:rsid w:val="001F3A9C"/>
    <w:rsid w:val="001F427D"/>
    <w:rsid w:val="001F4A19"/>
    <w:rsid w:val="001F5D31"/>
    <w:rsid w:val="001F5D7D"/>
    <w:rsid w:val="001F5DEE"/>
    <w:rsid w:val="001F692C"/>
    <w:rsid w:val="001F6DDD"/>
    <w:rsid w:val="001F78A3"/>
    <w:rsid w:val="001F7B42"/>
    <w:rsid w:val="001F7BE1"/>
    <w:rsid w:val="002013A8"/>
    <w:rsid w:val="00201E62"/>
    <w:rsid w:val="0020232E"/>
    <w:rsid w:val="00202513"/>
    <w:rsid w:val="002027F5"/>
    <w:rsid w:val="002028F1"/>
    <w:rsid w:val="00203A02"/>
    <w:rsid w:val="00203F7F"/>
    <w:rsid w:val="002044CF"/>
    <w:rsid w:val="00204D4A"/>
    <w:rsid w:val="002056AA"/>
    <w:rsid w:val="00205C60"/>
    <w:rsid w:val="0021014E"/>
    <w:rsid w:val="0021072E"/>
    <w:rsid w:val="002108EB"/>
    <w:rsid w:val="00210AD1"/>
    <w:rsid w:val="002111D0"/>
    <w:rsid w:val="00211316"/>
    <w:rsid w:val="00211C23"/>
    <w:rsid w:val="00211DC0"/>
    <w:rsid w:val="0021259F"/>
    <w:rsid w:val="00212F21"/>
    <w:rsid w:val="002132AB"/>
    <w:rsid w:val="0021373E"/>
    <w:rsid w:val="00213C46"/>
    <w:rsid w:val="00213D49"/>
    <w:rsid w:val="002148DE"/>
    <w:rsid w:val="00214D08"/>
    <w:rsid w:val="002157E1"/>
    <w:rsid w:val="00216789"/>
    <w:rsid w:val="00216B47"/>
    <w:rsid w:val="002178C3"/>
    <w:rsid w:val="00220430"/>
    <w:rsid w:val="002215BA"/>
    <w:rsid w:val="002217E1"/>
    <w:rsid w:val="0022189D"/>
    <w:rsid w:val="00221929"/>
    <w:rsid w:val="00221BAF"/>
    <w:rsid w:val="002231DA"/>
    <w:rsid w:val="002236CB"/>
    <w:rsid w:val="0022375A"/>
    <w:rsid w:val="002240E1"/>
    <w:rsid w:val="002255AB"/>
    <w:rsid w:val="00225FE2"/>
    <w:rsid w:val="00226764"/>
    <w:rsid w:val="0022743A"/>
    <w:rsid w:val="00227646"/>
    <w:rsid w:val="002302E1"/>
    <w:rsid w:val="0023079B"/>
    <w:rsid w:val="00232530"/>
    <w:rsid w:val="0023266A"/>
    <w:rsid w:val="0023285E"/>
    <w:rsid w:val="00233B7E"/>
    <w:rsid w:val="00233E4A"/>
    <w:rsid w:val="00233E9F"/>
    <w:rsid w:val="00233F8A"/>
    <w:rsid w:val="002361DC"/>
    <w:rsid w:val="00236256"/>
    <w:rsid w:val="002367B4"/>
    <w:rsid w:val="00236C78"/>
    <w:rsid w:val="002371EA"/>
    <w:rsid w:val="002377F8"/>
    <w:rsid w:val="00237892"/>
    <w:rsid w:val="00240F7E"/>
    <w:rsid w:val="00241F68"/>
    <w:rsid w:val="00242678"/>
    <w:rsid w:val="00242DA4"/>
    <w:rsid w:val="002447F0"/>
    <w:rsid w:val="00244C4B"/>
    <w:rsid w:val="00244F1D"/>
    <w:rsid w:val="00245224"/>
    <w:rsid w:val="002455F9"/>
    <w:rsid w:val="002459DC"/>
    <w:rsid w:val="00245A7D"/>
    <w:rsid w:val="00247369"/>
    <w:rsid w:val="002474EF"/>
    <w:rsid w:val="002478A7"/>
    <w:rsid w:val="00247D26"/>
    <w:rsid w:val="0025007E"/>
    <w:rsid w:val="00250321"/>
    <w:rsid w:val="00250F29"/>
    <w:rsid w:val="00251545"/>
    <w:rsid w:val="002515BF"/>
    <w:rsid w:val="002516EF"/>
    <w:rsid w:val="002532D7"/>
    <w:rsid w:val="002545EB"/>
    <w:rsid w:val="00255A8A"/>
    <w:rsid w:val="00257A7C"/>
    <w:rsid w:val="0026066A"/>
    <w:rsid w:val="00260701"/>
    <w:rsid w:val="00260BCD"/>
    <w:rsid w:val="00260E89"/>
    <w:rsid w:val="00262004"/>
    <w:rsid w:val="00262DCF"/>
    <w:rsid w:val="0026332B"/>
    <w:rsid w:val="002636A0"/>
    <w:rsid w:val="002636D0"/>
    <w:rsid w:val="002636D9"/>
    <w:rsid w:val="002639B1"/>
    <w:rsid w:val="00263B6F"/>
    <w:rsid w:val="00263F6C"/>
    <w:rsid w:val="0026400F"/>
    <w:rsid w:val="002641E2"/>
    <w:rsid w:val="002644BF"/>
    <w:rsid w:val="002646A6"/>
    <w:rsid w:val="002647AB"/>
    <w:rsid w:val="00270599"/>
    <w:rsid w:val="002705AC"/>
    <w:rsid w:val="00270689"/>
    <w:rsid w:val="002711A8"/>
    <w:rsid w:val="00272728"/>
    <w:rsid w:val="00272F21"/>
    <w:rsid w:val="00273425"/>
    <w:rsid w:val="00273C29"/>
    <w:rsid w:val="00274175"/>
    <w:rsid w:val="002741C2"/>
    <w:rsid w:val="002746A8"/>
    <w:rsid w:val="00276261"/>
    <w:rsid w:val="00276ABD"/>
    <w:rsid w:val="00276CAF"/>
    <w:rsid w:val="00277C58"/>
    <w:rsid w:val="002813FE"/>
    <w:rsid w:val="0028218C"/>
    <w:rsid w:val="00282B6E"/>
    <w:rsid w:val="00283CCE"/>
    <w:rsid w:val="002848B5"/>
    <w:rsid w:val="00284AFB"/>
    <w:rsid w:val="00285392"/>
    <w:rsid w:val="002856F4"/>
    <w:rsid w:val="0028594D"/>
    <w:rsid w:val="002869BB"/>
    <w:rsid w:val="00287500"/>
    <w:rsid w:val="00287831"/>
    <w:rsid w:val="00287E6A"/>
    <w:rsid w:val="00290AB0"/>
    <w:rsid w:val="00290C57"/>
    <w:rsid w:val="00291059"/>
    <w:rsid w:val="00292278"/>
    <w:rsid w:val="00292ED5"/>
    <w:rsid w:val="0029481C"/>
    <w:rsid w:val="00294E63"/>
    <w:rsid w:val="002950AA"/>
    <w:rsid w:val="00295CB6"/>
    <w:rsid w:val="00295CF7"/>
    <w:rsid w:val="00295DC2"/>
    <w:rsid w:val="002962AE"/>
    <w:rsid w:val="0029653C"/>
    <w:rsid w:val="0029697F"/>
    <w:rsid w:val="00296B14"/>
    <w:rsid w:val="00296CC7"/>
    <w:rsid w:val="00297252"/>
    <w:rsid w:val="00297379"/>
    <w:rsid w:val="00297829"/>
    <w:rsid w:val="00297B91"/>
    <w:rsid w:val="002A0511"/>
    <w:rsid w:val="002A0A4B"/>
    <w:rsid w:val="002A0BC1"/>
    <w:rsid w:val="002A12FC"/>
    <w:rsid w:val="002A14CD"/>
    <w:rsid w:val="002A1960"/>
    <w:rsid w:val="002A2431"/>
    <w:rsid w:val="002A4352"/>
    <w:rsid w:val="002A5091"/>
    <w:rsid w:val="002A54A1"/>
    <w:rsid w:val="002A5505"/>
    <w:rsid w:val="002A5F2D"/>
    <w:rsid w:val="002A604B"/>
    <w:rsid w:val="002A66C3"/>
    <w:rsid w:val="002A6F97"/>
    <w:rsid w:val="002A7568"/>
    <w:rsid w:val="002A7702"/>
    <w:rsid w:val="002B0FBE"/>
    <w:rsid w:val="002B138B"/>
    <w:rsid w:val="002B18A7"/>
    <w:rsid w:val="002B19D1"/>
    <w:rsid w:val="002B22F6"/>
    <w:rsid w:val="002B2B12"/>
    <w:rsid w:val="002B306D"/>
    <w:rsid w:val="002B3F5E"/>
    <w:rsid w:val="002B4D92"/>
    <w:rsid w:val="002B5188"/>
    <w:rsid w:val="002B54A8"/>
    <w:rsid w:val="002B557E"/>
    <w:rsid w:val="002B5CF7"/>
    <w:rsid w:val="002B62E9"/>
    <w:rsid w:val="002B6A99"/>
    <w:rsid w:val="002C0059"/>
    <w:rsid w:val="002C0F6B"/>
    <w:rsid w:val="002C1E06"/>
    <w:rsid w:val="002C296B"/>
    <w:rsid w:val="002C2F04"/>
    <w:rsid w:val="002C3AFC"/>
    <w:rsid w:val="002C3E5F"/>
    <w:rsid w:val="002C54B1"/>
    <w:rsid w:val="002C59FB"/>
    <w:rsid w:val="002C7A79"/>
    <w:rsid w:val="002C7B09"/>
    <w:rsid w:val="002D0077"/>
    <w:rsid w:val="002D04F2"/>
    <w:rsid w:val="002D0BED"/>
    <w:rsid w:val="002D0C73"/>
    <w:rsid w:val="002D1249"/>
    <w:rsid w:val="002D12B1"/>
    <w:rsid w:val="002D1F20"/>
    <w:rsid w:val="002D2486"/>
    <w:rsid w:val="002D2E17"/>
    <w:rsid w:val="002D3090"/>
    <w:rsid w:val="002D33C1"/>
    <w:rsid w:val="002D3EF4"/>
    <w:rsid w:val="002D459A"/>
    <w:rsid w:val="002D4C04"/>
    <w:rsid w:val="002D5757"/>
    <w:rsid w:val="002E0273"/>
    <w:rsid w:val="002E0436"/>
    <w:rsid w:val="002E07D6"/>
    <w:rsid w:val="002E101E"/>
    <w:rsid w:val="002E2D02"/>
    <w:rsid w:val="002E2E91"/>
    <w:rsid w:val="002E35E8"/>
    <w:rsid w:val="002E371A"/>
    <w:rsid w:val="002E468E"/>
    <w:rsid w:val="002E5240"/>
    <w:rsid w:val="002E5A2E"/>
    <w:rsid w:val="002E5AC0"/>
    <w:rsid w:val="002E78E1"/>
    <w:rsid w:val="002E793A"/>
    <w:rsid w:val="002E7DEA"/>
    <w:rsid w:val="002F1000"/>
    <w:rsid w:val="002F1B2B"/>
    <w:rsid w:val="002F28B9"/>
    <w:rsid w:val="002F2D28"/>
    <w:rsid w:val="002F429C"/>
    <w:rsid w:val="002F49D3"/>
    <w:rsid w:val="002F529C"/>
    <w:rsid w:val="002F554D"/>
    <w:rsid w:val="002F613F"/>
    <w:rsid w:val="002F6A09"/>
    <w:rsid w:val="002F6D0F"/>
    <w:rsid w:val="00300352"/>
    <w:rsid w:val="00300540"/>
    <w:rsid w:val="003005A6"/>
    <w:rsid w:val="0030071A"/>
    <w:rsid w:val="00302AF2"/>
    <w:rsid w:val="003036C1"/>
    <w:rsid w:val="0030381D"/>
    <w:rsid w:val="0030507F"/>
    <w:rsid w:val="00305AAD"/>
    <w:rsid w:val="00305DB6"/>
    <w:rsid w:val="00306F9F"/>
    <w:rsid w:val="003078F1"/>
    <w:rsid w:val="00310B3E"/>
    <w:rsid w:val="0031354F"/>
    <w:rsid w:val="00313B73"/>
    <w:rsid w:val="00313FE6"/>
    <w:rsid w:val="00314B43"/>
    <w:rsid w:val="003151F1"/>
    <w:rsid w:val="00316C2D"/>
    <w:rsid w:val="00317594"/>
    <w:rsid w:val="003207D1"/>
    <w:rsid w:val="003208F0"/>
    <w:rsid w:val="003210EE"/>
    <w:rsid w:val="00321F8B"/>
    <w:rsid w:val="00321FD3"/>
    <w:rsid w:val="0032282A"/>
    <w:rsid w:val="00323689"/>
    <w:rsid w:val="00323E5F"/>
    <w:rsid w:val="00324000"/>
    <w:rsid w:val="0032420F"/>
    <w:rsid w:val="00324234"/>
    <w:rsid w:val="0032469D"/>
    <w:rsid w:val="00326F37"/>
    <w:rsid w:val="00327CAD"/>
    <w:rsid w:val="00327FB4"/>
    <w:rsid w:val="0033036C"/>
    <w:rsid w:val="00330386"/>
    <w:rsid w:val="0033085C"/>
    <w:rsid w:val="00330ADE"/>
    <w:rsid w:val="00331A1C"/>
    <w:rsid w:val="0033238E"/>
    <w:rsid w:val="003334BE"/>
    <w:rsid w:val="003339FF"/>
    <w:rsid w:val="0033416C"/>
    <w:rsid w:val="003351C4"/>
    <w:rsid w:val="00335CFB"/>
    <w:rsid w:val="00336750"/>
    <w:rsid w:val="00336792"/>
    <w:rsid w:val="00336D31"/>
    <w:rsid w:val="00337C23"/>
    <w:rsid w:val="00337E22"/>
    <w:rsid w:val="00337ECC"/>
    <w:rsid w:val="003401B9"/>
    <w:rsid w:val="00341C56"/>
    <w:rsid w:val="00341DFA"/>
    <w:rsid w:val="00341E06"/>
    <w:rsid w:val="003436DE"/>
    <w:rsid w:val="00343A85"/>
    <w:rsid w:val="00343ABF"/>
    <w:rsid w:val="00343DCC"/>
    <w:rsid w:val="003445E9"/>
    <w:rsid w:val="00345D52"/>
    <w:rsid w:val="00347220"/>
    <w:rsid w:val="003505CB"/>
    <w:rsid w:val="00351094"/>
    <w:rsid w:val="00351CE0"/>
    <w:rsid w:val="00352056"/>
    <w:rsid w:val="003525F2"/>
    <w:rsid w:val="00352854"/>
    <w:rsid w:val="00352F9B"/>
    <w:rsid w:val="00352F9C"/>
    <w:rsid w:val="0035323E"/>
    <w:rsid w:val="003532B0"/>
    <w:rsid w:val="0035376C"/>
    <w:rsid w:val="00353C31"/>
    <w:rsid w:val="00354EE1"/>
    <w:rsid w:val="00355121"/>
    <w:rsid w:val="00356313"/>
    <w:rsid w:val="0035642A"/>
    <w:rsid w:val="00356881"/>
    <w:rsid w:val="00356E8C"/>
    <w:rsid w:val="00357ACC"/>
    <w:rsid w:val="00357D58"/>
    <w:rsid w:val="003618D6"/>
    <w:rsid w:val="00362E57"/>
    <w:rsid w:val="003631F0"/>
    <w:rsid w:val="00363FF4"/>
    <w:rsid w:val="00364CEB"/>
    <w:rsid w:val="00366E20"/>
    <w:rsid w:val="003671CE"/>
    <w:rsid w:val="003700B8"/>
    <w:rsid w:val="00370BC0"/>
    <w:rsid w:val="00370C6C"/>
    <w:rsid w:val="00371C1F"/>
    <w:rsid w:val="00371F09"/>
    <w:rsid w:val="00373AC3"/>
    <w:rsid w:val="0037482E"/>
    <w:rsid w:val="00375C38"/>
    <w:rsid w:val="00375F5D"/>
    <w:rsid w:val="0037665C"/>
    <w:rsid w:val="0037681A"/>
    <w:rsid w:val="003768E2"/>
    <w:rsid w:val="00376C30"/>
    <w:rsid w:val="003776D5"/>
    <w:rsid w:val="003800FF"/>
    <w:rsid w:val="0038010C"/>
    <w:rsid w:val="003801EF"/>
    <w:rsid w:val="00380788"/>
    <w:rsid w:val="003807D7"/>
    <w:rsid w:val="00381606"/>
    <w:rsid w:val="00381646"/>
    <w:rsid w:val="00381C60"/>
    <w:rsid w:val="00381D7D"/>
    <w:rsid w:val="00382D78"/>
    <w:rsid w:val="0038321D"/>
    <w:rsid w:val="0038399A"/>
    <w:rsid w:val="0038460C"/>
    <w:rsid w:val="00385467"/>
    <w:rsid w:val="00385897"/>
    <w:rsid w:val="00387265"/>
    <w:rsid w:val="00387EBA"/>
    <w:rsid w:val="00392922"/>
    <w:rsid w:val="00392B2F"/>
    <w:rsid w:val="003930C9"/>
    <w:rsid w:val="0039364E"/>
    <w:rsid w:val="00393945"/>
    <w:rsid w:val="00394CD6"/>
    <w:rsid w:val="0039511A"/>
    <w:rsid w:val="00395535"/>
    <w:rsid w:val="003957C7"/>
    <w:rsid w:val="00396348"/>
    <w:rsid w:val="003968F7"/>
    <w:rsid w:val="00396D21"/>
    <w:rsid w:val="00397BF2"/>
    <w:rsid w:val="003A0C8A"/>
    <w:rsid w:val="003A10FC"/>
    <w:rsid w:val="003A1499"/>
    <w:rsid w:val="003A1864"/>
    <w:rsid w:val="003A3DEF"/>
    <w:rsid w:val="003A4B55"/>
    <w:rsid w:val="003A6784"/>
    <w:rsid w:val="003A6795"/>
    <w:rsid w:val="003A7E18"/>
    <w:rsid w:val="003B04B2"/>
    <w:rsid w:val="003B0AC5"/>
    <w:rsid w:val="003B1B0E"/>
    <w:rsid w:val="003B20FA"/>
    <w:rsid w:val="003B26A8"/>
    <w:rsid w:val="003B2AA9"/>
    <w:rsid w:val="003B2C96"/>
    <w:rsid w:val="003B30A8"/>
    <w:rsid w:val="003B5775"/>
    <w:rsid w:val="003B746B"/>
    <w:rsid w:val="003B74E9"/>
    <w:rsid w:val="003B78D5"/>
    <w:rsid w:val="003C0DF7"/>
    <w:rsid w:val="003C1DAF"/>
    <w:rsid w:val="003C1E68"/>
    <w:rsid w:val="003C24AE"/>
    <w:rsid w:val="003C33FB"/>
    <w:rsid w:val="003C39A4"/>
    <w:rsid w:val="003C39C0"/>
    <w:rsid w:val="003C3B63"/>
    <w:rsid w:val="003C7B48"/>
    <w:rsid w:val="003C7E72"/>
    <w:rsid w:val="003D0931"/>
    <w:rsid w:val="003D0E4F"/>
    <w:rsid w:val="003D1439"/>
    <w:rsid w:val="003D1742"/>
    <w:rsid w:val="003D2DFA"/>
    <w:rsid w:val="003D4607"/>
    <w:rsid w:val="003D46CD"/>
    <w:rsid w:val="003D61E0"/>
    <w:rsid w:val="003D68EB"/>
    <w:rsid w:val="003D6DA5"/>
    <w:rsid w:val="003D7A99"/>
    <w:rsid w:val="003D7CCD"/>
    <w:rsid w:val="003E0007"/>
    <w:rsid w:val="003E1BED"/>
    <w:rsid w:val="003E1F6A"/>
    <w:rsid w:val="003E271C"/>
    <w:rsid w:val="003E3806"/>
    <w:rsid w:val="003E380A"/>
    <w:rsid w:val="003E4219"/>
    <w:rsid w:val="003E4FA7"/>
    <w:rsid w:val="003E6366"/>
    <w:rsid w:val="003E689E"/>
    <w:rsid w:val="003E7755"/>
    <w:rsid w:val="003E7B30"/>
    <w:rsid w:val="003F03B6"/>
    <w:rsid w:val="003F0587"/>
    <w:rsid w:val="003F06B1"/>
    <w:rsid w:val="003F1ADF"/>
    <w:rsid w:val="003F20FB"/>
    <w:rsid w:val="003F30CE"/>
    <w:rsid w:val="003F49B6"/>
    <w:rsid w:val="003F4CF8"/>
    <w:rsid w:val="003F529B"/>
    <w:rsid w:val="003F68EF"/>
    <w:rsid w:val="003F7987"/>
    <w:rsid w:val="003F7E9E"/>
    <w:rsid w:val="0040349A"/>
    <w:rsid w:val="004034B3"/>
    <w:rsid w:val="00404113"/>
    <w:rsid w:val="00404639"/>
    <w:rsid w:val="0040469E"/>
    <w:rsid w:val="00404E1D"/>
    <w:rsid w:val="00405574"/>
    <w:rsid w:val="00405B7E"/>
    <w:rsid w:val="00406E83"/>
    <w:rsid w:val="004079AB"/>
    <w:rsid w:val="00407D33"/>
    <w:rsid w:val="00410339"/>
    <w:rsid w:val="0041053A"/>
    <w:rsid w:val="0041134E"/>
    <w:rsid w:val="004123C1"/>
    <w:rsid w:val="00412F23"/>
    <w:rsid w:val="0041302A"/>
    <w:rsid w:val="0041378E"/>
    <w:rsid w:val="00413AD7"/>
    <w:rsid w:val="00414AC4"/>
    <w:rsid w:val="00414CF4"/>
    <w:rsid w:val="0041549F"/>
    <w:rsid w:val="00415800"/>
    <w:rsid w:val="00415DC3"/>
    <w:rsid w:val="0041664D"/>
    <w:rsid w:val="00416CB3"/>
    <w:rsid w:val="00416EFA"/>
    <w:rsid w:val="0041748D"/>
    <w:rsid w:val="00420F3B"/>
    <w:rsid w:val="004215F1"/>
    <w:rsid w:val="00422D3E"/>
    <w:rsid w:val="00423F79"/>
    <w:rsid w:val="004248D2"/>
    <w:rsid w:val="004248EA"/>
    <w:rsid w:val="00425030"/>
    <w:rsid w:val="00426407"/>
    <w:rsid w:val="00427129"/>
    <w:rsid w:val="004273E4"/>
    <w:rsid w:val="004279FB"/>
    <w:rsid w:val="00427FBE"/>
    <w:rsid w:val="0043062C"/>
    <w:rsid w:val="00432576"/>
    <w:rsid w:val="00432B6B"/>
    <w:rsid w:val="00432ED3"/>
    <w:rsid w:val="00435132"/>
    <w:rsid w:val="00435ACD"/>
    <w:rsid w:val="00435C45"/>
    <w:rsid w:val="00435EEC"/>
    <w:rsid w:val="004361F1"/>
    <w:rsid w:val="00437501"/>
    <w:rsid w:val="00440050"/>
    <w:rsid w:val="00444CF4"/>
    <w:rsid w:val="00446E4F"/>
    <w:rsid w:val="00447D47"/>
    <w:rsid w:val="00450293"/>
    <w:rsid w:val="004506E6"/>
    <w:rsid w:val="0045070E"/>
    <w:rsid w:val="004508B1"/>
    <w:rsid w:val="00451461"/>
    <w:rsid w:val="00451991"/>
    <w:rsid w:val="00452EB4"/>
    <w:rsid w:val="00455B16"/>
    <w:rsid w:val="00456791"/>
    <w:rsid w:val="00456885"/>
    <w:rsid w:val="00457616"/>
    <w:rsid w:val="00457A0F"/>
    <w:rsid w:val="0046063C"/>
    <w:rsid w:val="0046130D"/>
    <w:rsid w:val="004613D9"/>
    <w:rsid w:val="0046184B"/>
    <w:rsid w:val="004619D0"/>
    <w:rsid w:val="00462498"/>
    <w:rsid w:val="0046345F"/>
    <w:rsid w:val="00464181"/>
    <w:rsid w:val="0046571E"/>
    <w:rsid w:val="0046620E"/>
    <w:rsid w:val="00467030"/>
    <w:rsid w:val="004678AB"/>
    <w:rsid w:val="00467C7B"/>
    <w:rsid w:val="00467E36"/>
    <w:rsid w:val="00470CA0"/>
    <w:rsid w:val="00470E42"/>
    <w:rsid w:val="004719A4"/>
    <w:rsid w:val="00471BF9"/>
    <w:rsid w:val="00471EF6"/>
    <w:rsid w:val="00471F2D"/>
    <w:rsid w:val="004725EF"/>
    <w:rsid w:val="00472658"/>
    <w:rsid w:val="0047278F"/>
    <w:rsid w:val="00472966"/>
    <w:rsid w:val="00472DA1"/>
    <w:rsid w:val="00472DB4"/>
    <w:rsid w:val="004732FA"/>
    <w:rsid w:val="00473912"/>
    <w:rsid w:val="00473BEB"/>
    <w:rsid w:val="00475EA7"/>
    <w:rsid w:val="00475FA3"/>
    <w:rsid w:val="004766EB"/>
    <w:rsid w:val="004774A1"/>
    <w:rsid w:val="00480204"/>
    <w:rsid w:val="00480592"/>
    <w:rsid w:val="004806CB"/>
    <w:rsid w:val="00480767"/>
    <w:rsid w:val="0048110C"/>
    <w:rsid w:val="00482227"/>
    <w:rsid w:val="00482C32"/>
    <w:rsid w:val="00483031"/>
    <w:rsid w:val="0048519A"/>
    <w:rsid w:val="004856B1"/>
    <w:rsid w:val="00486798"/>
    <w:rsid w:val="00486AA3"/>
    <w:rsid w:val="00487316"/>
    <w:rsid w:val="004873D9"/>
    <w:rsid w:val="00487559"/>
    <w:rsid w:val="00487634"/>
    <w:rsid w:val="00487F6C"/>
    <w:rsid w:val="0049064A"/>
    <w:rsid w:val="00491883"/>
    <w:rsid w:val="00491C89"/>
    <w:rsid w:val="00491D8E"/>
    <w:rsid w:val="00491E2D"/>
    <w:rsid w:val="004926A0"/>
    <w:rsid w:val="004936A5"/>
    <w:rsid w:val="00493A6E"/>
    <w:rsid w:val="00493F19"/>
    <w:rsid w:val="00494116"/>
    <w:rsid w:val="00494173"/>
    <w:rsid w:val="0049524F"/>
    <w:rsid w:val="004962B9"/>
    <w:rsid w:val="004967A8"/>
    <w:rsid w:val="00496D95"/>
    <w:rsid w:val="004970F1"/>
    <w:rsid w:val="004971B6"/>
    <w:rsid w:val="00497C8D"/>
    <w:rsid w:val="004A06CD"/>
    <w:rsid w:val="004A115B"/>
    <w:rsid w:val="004A179F"/>
    <w:rsid w:val="004A17F2"/>
    <w:rsid w:val="004A1AE3"/>
    <w:rsid w:val="004A1E60"/>
    <w:rsid w:val="004A1F6B"/>
    <w:rsid w:val="004A3033"/>
    <w:rsid w:val="004A3D4D"/>
    <w:rsid w:val="004A4449"/>
    <w:rsid w:val="004A5FA4"/>
    <w:rsid w:val="004A68BC"/>
    <w:rsid w:val="004B033D"/>
    <w:rsid w:val="004B0774"/>
    <w:rsid w:val="004B124B"/>
    <w:rsid w:val="004B178D"/>
    <w:rsid w:val="004B2304"/>
    <w:rsid w:val="004B24DF"/>
    <w:rsid w:val="004B258C"/>
    <w:rsid w:val="004B3598"/>
    <w:rsid w:val="004B554D"/>
    <w:rsid w:val="004B5CAD"/>
    <w:rsid w:val="004B5D0F"/>
    <w:rsid w:val="004B7A73"/>
    <w:rsid w:val="004C1E65"/>
    <w:rsid w:val="004C2144"/>
    <w:rsid w:val="004C266E"/>
    <w:rsid w:val="004C28F9"/>
    <w:rsid w:val="004C387B"/>
    <w:rsid w:val="004C5791"/>
    <w:rsid w:val="004C5C25"/>
    <w:rsid w:val="004C62DF"/>
    <w:rsid w:val="004C640E"/>
    <w:rsid w:val="004C7740"/>
    <w:rsid w:val="004D0A64"/>
    <w:rsid w:val="004D133A"/>
    <w:rsid w:val="004D1F30"/>
    <w:rsid w:val="004D29AA"/>
    <w:rsid w:val="004D354A"/>
    <w:rsid w:val="004D3C49"/>
    <w:rsid w:val="004D484E"/>
    <w:rsid w:val="004D4A3B"/>
    <w:rsid w:val="004D4C93"/>
    <w:rsid w:val="004D4DB2"/>
    <w:rsid w:val="004D5197"/>
    <w:rsid w:val="004D5BF9"/>
    <w:rsid w:val="004D6547"/>
    <w:rsid w:val="004D65DE"/>
    <w:rsid w:val="004D7455"/>
    <w:rsid w:val="004D7A7A"/>
    <w:rsid w:val="004E087A"/>
    <w:rsid w:val="004E11F7"/>
    <w:rsid w:val="004E2888"/>
    <w:rsid w:val="004E3F73"/>
    <w:rsid w:val="004E4E6A"/>
    <w:rsid w:val="004E5096"/>
    <w:rsid w:val="004E559B"/>
    <w:rsid w:val="004F003E"/>
    <w:rsid w:val="004F0292"/>
    <w:rsid w:val="004F0FB3"/>
    <w:rsid w:val="004F172C"/>
    <w:rsid w:val="004F201D"/>
    <w:rsid w:val="004F2BC4"/>
    <w:rsid w:val="004F6EAB"/>
    <w:rsid w:val="004F7334"/>
    <w:rsid w:val="00501035"/>
    <w:rsid w:val="005021FB"/>
    <w:rsid w:val="00502233"/>
    <w:rsid w:val="00502267"/>
    <w:rsid w:val="00502CDE"/>
    <w:rsid w:val="00502DB5"/>
    <w:rsid w:val="0050302F"/>
    <w:rsid w:val="005031E7"/>
    <w:rsid w:val="0050388E"/>
    <w:rsid w:val="0050406E"/>
    <w:rsid w:val="0050581D"/>
    <w:rsid w:val="0050607E"/>
    <w:rsid w:val="0050666C"/>
    <w:rsid w:val="00507865"/>
    <w:rsid w:val="005100F0"/>
    <w:rsid w:val="005109FC"/>
    <w:rsid w:val="00510E2F"/>
    <w:rsid w:val="00511067"/>
    <w:rsid w:val="00512341"/>
    <w:rsid w:val="005123F8"/>
    <w:rsid w:val="0051240D"/>
    <w:rsid w:val="005124D7"/>
    <w:rsid w:val="00512596"/>
    <w:rsid w:val="005126F0"/>
    <w:rsid w:val="005129C9"/>
    <w:rsid w:val="005132AA"/>
    <w:rsid w:val="005133AC"/>
    <w:rsid w:val="00513512"/>
    <w:rsid w:val="005140A0"/>
    <w:rsid w:val="00514650"/>
    <w:rsid w:val="0051491B"/>
    <w:rsid w:val="00514D33"/>
    <w:rsid w:val="00515B40"/>
    <w:rsid w:val="00516107"/>
    <w:rsid w:val="00516360"/>
    <w:rsid w:val="005167FE"/>
    <w:rsid w:val="00517698"/>
    <w:rsid w:val="00517C10"/>
    <w:rsid w:val="00520758"/>
    <w:rsid w:val="005214E3"/>
    <w:rsid w:val="005219BD"/>
    <w:rsid w:val="00521E9E"/>
    <w:rsid w:val="00522362"/>
    <w:rsid w:val="00523AE3"/>
    <w:rsid w:val="00523E8E"/>
    <w:rsid w:val="00523EE0"/>
    <w:rsid w:val="005252BF"/>
    <w:rsid w:val="00525578"/>
    <w:rsid w:val="005259A6"/>
    <w:rsid w:val="00525CB6"/>
    <w:rsid w:val="005268B1"/>
    <w:rsid w:val="00527719"/>
    <w:rsid w:val="005278E7"/>
    <w:rsid w:val="00527F92"/>
    <w:rsid w:val="005307AB"/>
    <w:rsid w:val="005322AA"/>
    <w:rsid w:val="00532629"/>
    <w:rsid w:val="00532BF5"/>
    <w:rsid w:val="00532F35"/>
    <w:rsid w:val="00533A1C"/>
    <w:rsid w:val="0053512D"/>
    <w:rsid w:val="005363F6"/>
    <w:rsid w:val="0053674F"/>
    <w:rsid w:val="00540E37"/>
    <w:rsid w:val="00541D6B"/>
    <w:rsid w:val="005453D8"/>
    <w:rsid w:val="00545884"/>
    <w:rsid w:val="00546E42"/>
    <w:rsid w:val="0054774B"/>
    <w:rsid w:val="00551591"/>
    <w:rsid w:val="00551D01"/>
    <w:rsid w:val="005523B7"/>
    <w:rsid w:val="00553591"/>
    <w:rsid w:val="00553C36"/>
    <w:rsid w:val="005546C4"/>
    <w:rsid w:val="00554E8C"/>
    <w:rsid w:val="0055577F"/>
    <w:rsid w:val="00555891"/>
    <w:rsid w:val="005563BC"/>
    <w:rsid w:val="00556DA0"/>
    <w:rsid w:val="005612D4"/>
    <w:rsid w:val="00562AC6"/>
    <w:rsid w:val="00562D7E"/>
    <w:rsid w:val="005638E3"/>
    <w:rsid w:val="005639E4"/>
    <w:rsid w:val="00564DD4"/>
    <w:rsid w:val="00565040"/>
    <w:rsid w:val="005651B4"/>
    <w:rsid w:val="00565694"/>
    <w:rsid w:val="00565DE5"/>
    <w:rsid w:val="00565DF2"/>
    <w:rsid w:val="005661D0"/>
    <w:rsid w:val="0056761E"/>
    <w:rsid w:val="00567CF9"/>
    <w:rsid w:val="005702F9"/>
    <w:rsid w:val="00570584"/>
    <w:rsid w:val="00571755"/>
    <w:rsid w:val="00572100"/>
    <w:rsid w:val="00573526"/>
    <w:rsid w:val="00575095"/>
    <w:rsid w:val="0057538F"/>
    <w:rsid w:val="00575449"/>
    <w:rsid w:val="005756C3"/>
    <w:rsid w:val="00575DC3"/>
    <w:rsid w:val="00576378"/>
    <w:rsid w:val="0057698F"/>
    <w:rsid w:val="00576F6C"/>
    <w:rsid w:val="005817CE"/>
    <w:rsid w:val="00582232"/>
    <w:rsid w:val="0058242E"/>
    <w:rsid w:val="00583A1E"/>
    <w:rsid w:val="00584413"/>
    <w:rsid w:val="005849F7"/>
    <w:rsid w:val="00585619"/>
    <w:rsid w:val="00586362"/>
    <w:rsid w:val="00586846"/>
    <w:rsid w:val="00587890"/>
    <w:rsid w:val="00587D84"/>
    <w:rsid w:val="00587F3F"/>
    <w:rsid w:val="00590364"/>
    <w:rsid w:val="005906E5"/>
    <w:rsid w:val="00590D00"/>
    <w:rsid w:val="00591598"/>
    <w:rsid w:val="005917C6"/>
    <w:rsid w:val="00591F30"/>
    <w:rsid w:val="005920CC"/>
    <w:rsid w:val="00592669"/>
    <w:rsid w:val="00592AD9"/>
    <w:rsid w:val="00593089"/>
    <w:rsid w:val="0059343D"/>
    <w:rsid w:val="0059362A"/>
    <w:rsid w:val="00593F0D"/>
    <w:rsid w:val="00594212"/>
    <w:rsid w:val="0059449A"/>
    <w:rsid w:val="005957D6"/>
    <w:rsid w:val="00595B44"/>
    <w:rsid w:val="00595E07"/>
    <w:rsid w:val="00595FA1"/>
    <w:rsid w:val="00596423"/>
    <w:rsid w:val="00596DB0"/>
    <w:rsid w:val="0059737A"/>
    <w:rsid w:val="00597748"/>
    <w:rsid w:val="00597C98"/>
    <w:rsid w:val="00597EFE"/>
    <w:rsid w:val="005A0443"/>
    <w:rsid w:val="005A04E4"/>
    <w:rsid w:val="005A08F5"/>
    <w:rsid w:val="005A3489"/>
    <w:rsid w:val="005A38D6"/>
    <w:rsid w:val="005A46B1"/>
    <w:rsid w:val="005A5346"/>
    <w:rsid w:val="005A5EB8"/>
    <w:rsid w:val="005A6F99"/>
    <w:rsid w:val="005A79B7"/>
    <w:rsid w:val="005A7D10"/>
    <w:rsid w:val="005B0DA6"/>
    <w:rsid w:val="005B10A7"/>
    <w:rsid w:val="005B23F4"/>
    <w:rsid w:val="005B4491"/>
    <w:rsid w:val="005B4746"/>
    <w:rsid w:val="005B5A6F"/>
    <w:rsid w:val="005B6784"/>
    <w:rsid w:val="005B698E"/>
    <w:rsid w:val="005B7079"/>
    <w:rsid w:val="005B7312"/>
    <w:rsid w:val="005C14C8"/>
    <w:rsid w:val="005C1748"/>
    <w:rsid w:val="005C1A59"/>
    <w:rsid w:val="005C2E6E"/>
    <w:rsid w:val="005C3260"/>
    <w:rsid w:val="005C3FB1"/>
    <w:rsid w:val="005C50E7"/>
    <w:rsid w:val="005C544F"/>
    <w:rsid w:val="005C5B95"/>
    <w:rsid w:val="005C5F71"/>
    <w:rsid w:val="005C62DB"/>
    <w:rsid w:val="005C6A33"/>
    <w:rsid w:val="005C6D0A"/>
    <w:rsid w:val="005C7A4E"/>
    <w:rsid w:val="005D034A"/>
    <w:rsid w:val="005D0EAE"/>
    <w:rsid w:val="005D0F24"/>
    <w:rsid w:val="005D137A"/>
    <w:rsid w:val="005D1C60"/>
    <w:rsid w:val="005D1FE5"/>
    <w:rsid w:val="005D2BDF"/>
    <w:rsid w:val="005D2CC9"/>
    <w:rsid w:val="005D30EF"/>
    <w:rsid w:val="005D4DA5"/>
    <w:rsid w:val="005D610C"/>
    <w:rsid w:val="005E0FED"/>
    <w:rsid w:val="005E3438"/>
    <w:rsid w:val="005E4058"/>
    <w:rsid w:val="005E4A9B"/>
    <w:rsid w:val="005E58DE"/>
    <w:rsid w:val="005E6F47"/>
    <w:rsid w:val="005E78EE"/>
    <w:rsid w:val="005E7B15"/>
    <w:rsid w:val="005F0843"/>
    <w:rsid w:val="005F181D"/>
    <w:rsid w:val="005F2F89"/>
    <w:rsid w:val="005F3552"/>
    <w:rsid w:val="005F3595"/>
    <w:rsid w:val="005F36DC"/>
    <w:rsid w:val="005F42BB"/>
    <w:rsid w:val="005F44BC"/>
    <w:rsid w:val="005F45E9"/>
    <w:rsid w:val="005F45F5"/>
    <w:rsid w:val="005F4CB1"/>
    <w:rsid w:val="005F502B"/>
    <w:rsid w:val="005F5715"/>
    <w:rsid w:val="005F61B9"/>
    <w:rsid w:val="005F6F1B"/>
    <w:rsid w:val="0060051B"/>
    <w:rsid w:val="00600A08"/>
    <w:rsid w:val="006014BA"/>
    <w:rsid w:val="00602017"/>
    <w:rsid w:val="0060332E"/>
    <w:rsid w:val="00604956"/>
    <w:rsid w:val="00604E18"/>
    <w:rsid w:val="00604EA1"/>
    <w:rsid w:val="00605243"/>
    <w:rsid w:val="006057C8"/>
    <w:rsid w:val="006060D7"/>
    <w:rsid w:val="00606371"/>
    <w:rsid w:val="006063C5"/>
    <w:rsid w:val="00607536"/>
    <w:rsid w:val="006075E2"/>
    <w:rsid w:val="00607603"/>
    <w:rsid w:val="00607E94"/>
    <w:rsid w:val="006109B6"/>
    <w:rsid w:val="00610B4D"/>
    <w:rsid w:val="00611029"/>
    <w:rsid w:val="00611A55"/>
    <w:rsid w:val="00611FC3"/>
    <w:rsid w:val="00612419"/>
    <w:rsid w:val="00614054"/>
    <w:rsid w:val="006147B1"/>
    <w:rsid w:val="0061485A"/>
    <w:rsid w:val="006158C6"/>
    <w:rsid w:val="00615B62"/>
    <w:rsid w:val="0061637C"/>
    <w:rsid w:val="006176B7"/>
    <w:rsid w:val="006203F1"/>
    <w:rsid w:val="0062124D"/>
    <w:rsid w:val="00621ACA"/>
    <w:rsid w:val="0062355E"/>
    <w:rsid w:val="00623621"/>
    <w:rsid w:val="006259C1"/>
    <w:rsid w:val="00625FF5"/>
    <w:rsid w:val="006263EA"/>
    <w:rsid w:val="0062770E"/>
    <w:rsid w:val="00627ED9"/>
    <w:rsid w:val="00627EEF"/>
    <w:rsid w:val="006308D3"/>
    <w:rsid w:val="00630F0F"/>
    <w:rsid w:val="006311F8"/>
    <w:rsid w:val="006335B0"/>
    <w:rsid w:val="00633611"/>
    <w:rsid w:val="00634955"/>
    <w:rsid w:val="00634CB0"/>
    <w:rsid w:val="006364A2"/>
    <w:rsid w:val="006367C7"/>
    <w:rsid w:val="00636990"/>
    <w:rsid w:val="00640950"/>
    <w:rsid w:val="00640A96"/>
    <w:rsid w:val="00641450"/>
    <w:rsid w:val="00643041"/>
    <w:rsid w:val="00643718"/>
    <w:rsid w:val="0064441A"/>
    <w:rsid w:val="00645C9F"/>
    <w:rsid w:val="00645D68"/>
    <w:rsid w:val="00645F53"/>
    <w:rsid w:val="0065026D"/>
    <w:rsid w:val="00650680"/>
    <w:rsid w:val="00650989"/>
    <w:rsid w:val="00651906"/>
    <w:rsid w:val="0065202C"/>
    <w:rsid w:val="0065205C"/>
    <w:rsid w:val="00653BAB"/>
    <w:rsid w:val="00654EA0"/>
    <w:rsid w:val="00655722"/>
    <w:rsid w:val="00655D12"/>
    <w:rsid w:val="00656322"/>
    <w:rsid w:val="0065659D"/>
    <w:rsid w:val="006565C1"/>
    <w:rsid w:val="00656C12"/>
    <w:rsid w:val="00656DE5"/>
    <w:rsid w:val="006577BB"/>
    <w:rsid w:val="00657893"/>
    <w:rsid w:val="00660334"/>
    <w:rsid w:val="006617F3"/>
    <w:rsid w:val="00661A55"/>
    <w:rsid w:val="00661CA9"/>
    <w:rsid w:val="00662763"/>
    <w:rsid w:val="00663278"/>
    <w:rsid w:val="006648E5"/>
    <w:rsid w:val="006651BD"/>
    <w:rsid w:val="00665E5E"/>
    <w:rsid w:val="0066710B"/>
    <w:rsid w:val="00667CC5"/>
    <w:rsid w:val="00667E51"/>
    <w:rsid w:val="0067018D"/>
    <w:rsid w:val="00670E0F"/>
    <w:rsid w:val="006724E0"/>
    <w:rsid w:val="00672E53"/>
    <w:rsid w:val="00672E61"/>
    <w:rsid w:val="00673188"/>
    <w:rsid w:val="0067345E"/>
    <w:rsid w:val="0067359B"/>
    <w:rsid w:val="00673675"/>
    <w:rsid w:val="00673BF9"/>
    <w:rsid w:val="00676A4B"/>
    <w:rsid w:val="00676AD0"/>
    <w:rsid w:val="00677FF6"/>
    <w:rsid w:val="006813C9"/>
    <w:rsid w:val="00681550"/>
    <w:rsid w:val="00681786"/>
    <w:rsid w:val="006817D8"/>
    <w:rsid w:val="00682109"/>
    <w:rsid w:val="006833BA"/>
    <w:rsid w:val="0068344C"/>
    <w:rsid w:val="0068345C"/>
    <w:rsid w:val="006852E8"/>
    <w:rsid w:val="00685815"/>
    <w:rsid w:val="0068592C"/>
    <w:rsid w:val="00687FB0"/>
    <w:rsid w:val="006904E9"/>
    <w:rsid w:val="006911CC"/>
    <w:rsid w:val="00691B32"/>
    <w:rsid w:val="006926BF"/>
    <w:rsid w:val="00692E9D"/>
    <w:rsid w:val="006930BA"/>
    <w:rsid w:val="00693354"/>
    <w:rsid w:val="006948A8"/>
    <w:rsid w:val="00695F4A"/>
    <w:rsid w:val="006971C6"/>
    <w:rsid w:val="0069797E"/>
    <w:rsid w:val="00697DC4"/>
    <w:rsid w:val="00697ECB"/>
    <w:rsid w:val="006A32F2"/>
    <w:rsid w:val="006A389C"/>
    <w:rsid w:val="006A65BB"/>
    <w:rsid w:val="006A681A"/>
    <w:rsid w:val="006A6BF3"/>
    <w:rsid w:val="006A6E97"/>
    <w:rsid w:val="006A7B7F"/>
    <w:rsid w:val="006A7E83"/>
    <w:rsid w:val="006B3151"/>
    <w:rsid w:val="006B4C8D"/>
    <w:rsid w:val="006B5A01"/>
    <w:rsid w:val="006B6752"/>
    <w:rsid w:val="006B7D25"/>
    <w:rsid w:val="006B7D69"/>
    <w:rsid w:val="006C1837"/>
    <w:rsid w:val="006C1CB4"/>
    <w:rsid w:val="006C1DCD"/>
    <w:rsid w:val="006C2DFE"/>
    <w:rsid w:val="006C304A"/>
    <w:rsid w:val="006C4017"/>
    <w:rsid w:val="006C5A1E"/>
    <w:rsid w:val="006C7290"/>
    <w:rsid w:val="006C7AD8"/>
    <w:rsid w:val="006D0250"/>
    <w:rsid w:val="006D144F"/>
    <w:rsid w:val="006D1764"/>
    <w:rsid w:val="006D27B3"/>
    <w:rsid w:val="006D3AEC"/>
    <w:rsid w:val="006D3B7A"/>
    <w:rsid w:val="006D42B2"/>
    <w:rsid w:val="006D45B9"/>
    <w:rsid w:val="006D4685"/>
    <w:rsid w:val="006D6112"/>
    <w:rsid w:val="006D6599"/>
    <w:rsid w:val="006D75D8"/>
    <w:rsid w:val="006E18A6"/>
    <w:rsid w:val="006E18B4"/>
    <w:rsid w:val="006E2822"/>
    <w:rsid w:val="006E438E"/>
    <w:rsid w:val="006E5645"/>
    <w:rsid w:val="006E6CF7"/>
    <w:rsid w:val="006E6D99"/>
    <w:rsid w:val="006E6ED7"/>
    <w:rsid w:val="006E7C84"/>
    <w:rsid w:val="006F074D"/>
    <w:rsid w:val="006F1614"/>
    <w:rsid w:val="006F21BB"/>
    <w:rsid w:val="006F2759"/>
    <w:rsid w:val="006F2E45"/>
    <w:rsid w:val="006F303B"/>
    <w:rsid w:val="006F381B"/>
    <w:rsid w:val="006F3E54"/>
    <w:rsid w:val="006F5B5C"/>
    <w:rsid w:val="006F6790"/>
    <w:rsid w:val="006F693A"/>
    <w:rsid w:val="006F76E6"/>
    <w:rsid w:val="007006ED"/>
    <w:rsid w:val="007021E1"/>
    <w:rsid w:val="007023BC"/>
    <w:rsid w:val="00703684"/>
    <w:rsid w:val="0070426C"/>
    <w:rsid w:val="00704809"/>
    <w:rsid w:val="0070709B"/>
    <w:rsid w:val="00710408"/>
    <w:rsid w:val="00710A90"/>
    <w:rsid w:val="007112CB"/>
    <w:rsid w:val="00711356"/>
    <w:rsid w:val="007117C5"/>
    <w:rsid w:val="00711EF8"/>
    <w:rsid w:val="00711FA0"/>
    <w:rsid w:val="007137F6"/>
    <w:rsid w:val="0071506C"/>
    <w:rsid w:val="00715228"/>
    <w:rsid w:val="007153A5"/>
    <w:rsid w:val="0071683F"/>
    <w:rsid w:val="007172EB"/>
    <w:rsid w:val="00720532"/>
    <w:rsid w:val="007211B0"/>
    <w:rsid w:val="00721A1D"/>
    <w:rsid w:val="0072218C"/>
    <w:rsid w:val="00723EDB"/>
    <w:rsid w:val="007244C9"/>
    <w:rsid w:val="007248E5"/>
    <w:rsid w:val="0072502C"/>
    <w:rsid w:val="00726F03"/>
    <w:rsid w:val="00726F23"/>
    <w:rsid w:val="00726FDA"/>
    <w:rsid w:val="00730140"/>
    <w:rsid w:val="007305DE"/>
    <w:rsid w:val="0073091F"/>
    <w:rsid w:val="00731971"/>
    <w:rsid w:val="0073209D"/>
    <w:rsid w:val="0073258B"/>
    <w:rsid w:val="00732D4F"/>
    <w:rsid w:val="0073397C"/>
    <w:rsid w:val="00734ABF"/>
    <w:rsid w:val="007351D8"/>
    <w:rsid w:val="00736B19"/>
    <w:rsid w:val="00736F46"/>
    <w:rsid w:val="00737D7D"/>
    <w:rsid w:val="00740A2F"/>
    <w:rsid w:val="00741930"/>
    <w:rsid w:val="00743DC1"/>
    <w:rsid w:val="0074631C"/>
    <w:rsid w:val="007464DA"/>
    <w:rsid w:val="00746CD3"/>
    <w:rsid w:val="0074779F"/>
    <w:rsid w:val="00747BAB"/>
    <w:rsid w:val="00747E33"/>
    <w:rsid w:val="00747E76"/>
    <w:rsid w:val="00750991"/>
    <w:rsid w:val="00750A2F"/>
    <w:rsid w:val="007519C6"/>
    <w:rsid w:val="00751B56"/>
    <w:rsid w:val="00751E25"/>
    <w:rsid w:val="007526F1"/>
    <w:rsid w:val="00753174"/>
    <w:rsid w:val="00753635"/>
    <w:rsid w:val="00753AC3"/>
    <w:rsid w:val="00753EE7"/>
    <w:rsid w:val="007541B0"/>
    <w:rsid w:val="00754DAA"/>
    <w:rsid w:val="00755320"/>
    <w:rsid w:val="007554F7"/>
    <w:rsid w:val="0075554A"/>
    <w:rsid w:val="00757AAB"/>
    <w:rsid w:val="00760DF8"/>
    <w:rsid w:val="00760EC7"/>
    <w:rsid w:val="00761134"/>
    <w:rsid w:val="007614DB"/>
    <w:rsid w:val="007615AB"/>
    <w:rsid w:val="00761CA6"/>
    <w:rsid w:val="007626BF"/>
    <w:rsid w:val="00762856"/>
    <w:rsid w:val="00762CDD"/>
    <w:rsid w:val="00763F30"/>
    <w:rsid w:val="0076470B"/>
    <w:rsid w:val="00764A1E"/>
    <w:rsid w:val="00764C52"/>
    <w:rsid w:val="0076551E"/>
    <w:rsid w:val="00766BA4"/>
    <w:rsid w:val="007670C8"/>
    <w:rsid w:val="00767436"/>
    <w:rsid w:val="00767B4F"/>
    <w:rsid w:val="00770FFA"/>
    <w:rsid w:val="00771306"/>
    <w:rsid w:val="00771392"/>
    <w:rsid w:val="0077152A"/>
    <w:rsid w:val="0077243A"/>
    <w:rsid w:val="007727BB"/>
    <w:rsid w:val="00774AED"/>
    <w:rsid w:val="007752FA"/>
    <w:rsid w:val="00775BC9"/>
    <w:rsid w:val="00775C05"/>
    <w:rsid w:val="00776A37"/>
    <w:rsid w:val="00777E68"/>
    <w:rsid w:val="007803B1"/>
    <w:rsid w:val="007804E2"/>
    <w:rsid w:val="00781411"/>
    <w:rsid w:val="00781432"/>
    <w:rsid w:val="007823C3"/>
    <w:rsid w:val="00782AE9"/>
    <w:rsid w:val="00783486"/>
    <w:rsid w:val="00783728"/>
    <w:rsid w:val="007837A7"/>
    <w:rsid w:val="007838F0"/>
    <w:rsid w:val="00784215"/>
    <w:rsid w:val="0078442E"/>
    <w:rsid w:val="00784FB2"/>
    <w:rsid w:val="00785976"/>
    <w:rsid w:val="007861FC"/>
    <w:rsid w:val="00786DFF"/>
    <w:rsid w:val="00787780"/>
    <w:rsid w:val="00791AD7"/>
    <w:rsid w:val="00791C82"/>
    <w:rsid w:val="00793A07"/>
    <w:rsid w:val="007967F8"/>
    <w:rsid w:val="00797048"/>
    <w:rsid w:val="00797175"/>
    <w:rsid w:val="007A07C8"/>
    <w:rsid w:val="007A0F4C"/>
    <w:rsid w:val="007A0F6E"/>
    <w:rsid w:val="007A0FE5"/>
    <w:rsid w:val="007A1335"/>
    <w:rsid w:val="007A1865"/>
    <w:rsid w:val="007A2997"/>
    <w:rsid w:val="007A38EF"/>
    <w:rsid w:val="007A3D16"/>
    <w:rsid w:val="007A3E3D"/>
    <w:rsid w:val="007A3F30"/>
    <w:rsid w:val="007A3FA4"/>
    <w:rsid w:val="007A404B"/>
    <w:rsid w:val="007A49D2"/>
    <w:rsid w:val="007A5410"/>
    <w:rsid w:val="007A5894"/>
    <w:rsid w:val="007A5AD6"/>
    <w:rsid w:val="007B09C4"/>
    <w:rsid w:val="007B0BC8"/>
    <w:rsid w:val="007B0EC5"/>
    <w:rsid w:val="007B0FDF"/>
    <w:rsid w:val="007B1787"/>
    <w:rsid w:val="007B1852"/>
    <w:rsid w:val="007B2E19"/>
    <w:rsid w:val="007B4650"/>
    <w:rsid w:val="007B4D0B"/>
    <w:rsid w:val="007B68F3"/>
    <w:rsid w:val="007B737A"/>
    <w:rsid w:val="007C09F9"/>
    <w:rsid w:val="007C0C3F"/>
    <w:rsid w:val="007C0F63"/>
    <w:rsid w:val="007C1F98"/>
    <w:rsid w:val="007C1FFA"/>
    <w:rsid w:val="007C2386"/>
    <w:rsid w:val="007C270A"/>
    <w:rsid w:val="007C27B1"/>
    <w:rsid w:val="007C286E"/>
    <w:rsid w:val="007C4629"/>
    <w:rsid w:val="007C5354"/>
    <w:rsid w:val="007C5B5F"/>
    <w:rsid w:val="007C687D"/>
    <w:rsid w:val="007C78E7"/>
    <w:rsid w:val="007C7B9F"/>
    <w:rsid w:val="007D0247"/>
    <w:rsid w:val="007D02C3"/>
    <w:rsid w:val="007D0BC6"/>
    <w:rsid w:val="007D2882"/>
    <w:rsid w:val="007D28E2"/>
    <w:rsid w:val="007D392F"/>
    <w:rsid w:val="007D3C12"/>
    <w:rsid w:val="007D4C21"/>
    <w:rsid w:val="007D5683"/>
    <w:rsid w:val="007D686A"/>
    <w:rsid w:val="007D7E7E"/>
    <w:rsid w:val="007E0B23"/>
    <w:rsid w:val="007E1E2D"/>
    <w:rsid w:val="007E3466"/>
    <w:rsid w:val="007E4508"/>
    <w:rsid w:val="007E484B"/>
    <w:rsid w:val="007E6638"/>
    <w:rsid w:val="007E7119"/>
    <w:rsid w:val="007E78A7"/>
    <w:rsid w:val="007F04DF"/>
    <w:rsid w:val="007F0879"/>
    <w:rsid w:val="007F1E7D"/>
    <w:rsid w:val="007F31F7"/>
    <w:rsid w:val="007F3A23"/>
    <w:rsid w:val="007F486D"/>
    <w:rsid w:val="007F4E51"/>
    <w:rsid w:val="007F5568"/>
    <w:rsid w:val="007F5B7C"/>
    <w:rsid w:val="007F5C31"/>
    <w:rsid w:val="007F5C58"/>
    <w:rsid w:val="007F667C"/>
    <w:rsid w:val="007F725B"/>
    <w:rsid w:val="007F798B"/>
    <w:rsid w:val="008000E5"/>
    <w:rsid w:val="00800CB1"/>
    <w:rsid w:val="00800FA5"/>
    <w:rsid w:val="0080184B"/>
    <w:rsid w:val="008021AB"/>
    <w:rsid w:val="00802AE0"/>
    <w:rsid w:val="00803ADA"/>
    <w:rsid w:val="00805C9B"/>
    <w:rsid w:val="00806658"/>
    <w:rsid w:val="00806663"/>
    <w:rsid w:val="00806FD6"/>
    <w:rsid w:val="008076E2"/>
    <w:rsid w:val="00807897"/>
    <w:rsid w:val="00807C52"/>
    <w:rsid w:val="00810659"/>
    <w:rsid w:val="0081097E"/>
    <w:rsid w:val="00810D0E"/>
    <w:rsid w:val="00811B93"/>
    <w:rsid w:val="008123ED"/>
    <w:rsid w:val="00813E2D"/>
    <w:rsid w:val="00814DB8"/>
    <w:rsid w:val="00815197"/>
    <w:rsid w:val="0081587B"/>
    <w:rsid w:val="00816244"/>
    <w:rsid w:val="0081686B"/>
    <w:rsid w:val="00816A42"/>
    <w:rsid w:val="008171CD"/>
    <w:rsid w:val="0082001A"/>
    <w:rsid w:val="0082040D"/>
    <w:rsid w:val="0082051E"/>
    <w:rsid w:val="00820DC8"/>
    <w:rsid w:val="00822BD2"/>
    <w:rsid w:val="00824E3E"/>
    <w:rsid w:val="00825D02"/>
    <w:rsid w:val="00826004"/>
    <w:rsid w:val="00827497"/>
    <w:rsid w:val="008274FE"/>
    <w:rsid w:val="00830C3E"/>
    <w:rsid w:val="00831936"/>
    <w:rsid w:val="008338D0"/>
    <w:rsid w:val="00834B36"/>
    <w:rsid w:val="00835A50"/>
    <w:rsid w:val="00835C5B"/>
    <w:rsid w:val="00835ECC"/>
    <w:rsid w:val="00835EDB"/>
    <w:rsid w:val="00836B42"/>
    <w:rsid w:val="00840497"/>
    <w:rsid w:val="00840B7A"/>
    <w:rsid w:val="00841846"/>
    <w:rsid w:val="00841D6F"/>
    <w:rsid w:val="00843569"/>
    <w:rsid w:val="00843759"/>
    <w:rsid w:val="00843AF7"/>
    <w:rsid w:val="008443B6"/>
    <w:rsid w:val="00844B1D"/>
    <w:rsid w:val="00845664"/>
    <w:rsid w:val="00845AFB"/>
    <w:rsid w:val="00845E2B"/>
    <w:rsid w:val="00846E9D"/>
    <w:rsid w:val="00847A1C"/>
    <w:rsid w:val="00847A72"/>
    <w:rsid w:val="00847C98"/>
    <w:rsid w:val="00851CCD"/>
    <w:rsid w:val="008523C7"/>
    <w:rsid w:val="0085253A"/>
    <w:rsid w:val="008525B4"/>
    <w:rsid w:val="008527C7"/>
    <w:rsid w:val="00853414"/>
    <w:rsid w:val="00854155"/>
    <w:rsid w:val="00855F4B"/>
    <w:rsid w:val="00855F97"/>
    <w:rsid w:val="00856641"/>
    <w:rsid w:val="00857A86"/>
    <w:rsid w:val="00860197"/>
    <w:rsid w:val="008604B3"/>
    <w:rsid w:val="008608C2"/>
    <w:rsid w:val="00860EE8"/>
    <w:rsid w:val="008615FD"/>
    <w:rsid w:val="00862A2D"/>
    <w:rsid w:val="00862ACF"/>
    <w:rsid w:val="00862BDF"/>
    <w:rsid w:val="00864CBD"/>
    <w:rsid w:val="00864E5F"/>
    <w:rsid w:val="00865D28"/>
    <w:rsid w:val="00866D22"/>
    <w:rsid w:val="00866FE7"/>
    <w:rsid w:val="00867C1D"/>
    <w:rsid w:val="00867D99"/>
    <w:rsid w:val="008702BF"/>
    <w:rsid w:val="0087074B"/>
    <w:rsid w:val="00870764"/>
    <w:rsid w:val="00872013"/>
    <w:rsid w:val="008722A5"/>
    <w:rsid w:val="008725EF"/>
    <w:rsid w:val="00873DB7"/>
    <w:rsid w:val="0087435A"/>
    <w:rsid w:val="00874E99"/>
    <w:rsid w:val="00874FF5"/>
    <w:rsid w:val="00875121"/>
    <w:rsid w:val="00875B9A"/>
    <w:rsid w:val="00876329"/>
    <w:rsid w:val="00876F7F"/>
    <w:rsid w:val="008778FA"/>
    <w:rsid w:val="00881330"/>
    <w:rsid w:val="00882EB0"/>
    <w:rsid w:val="00882F7F"/>
    <w:rsid w:val="008833D9"/>
    <w:rsid w:val="00883B27"/>
    <w:rsid w:val="008848B0"/>
    <w:rsid w:val="008854C2"/>
    <w:rsid w:val="00885BBC"/>
    <w:rsid w:val="00887266"/>
    <w:rsid w:val="0088798C"/>
    <w:rsid w:val="0089025E"/>
    <w:rsid w:val="00891AC0"/>
    <w:rsid w:val="0089357F"/>
    <w:rsid w:val="0089359F"/>
    <w:rsid w:val="00893704"/>
    <w:rsid w:val="00894016"/>
    <w:rsid w:val="00894782"/>
    <w:rsid w:val="00895095"/>
    <w:rsid w:val="00895928"/>
    <w:rsid w:val="00895BB9"/>
    <w:rsid w:val="00895BD8"/>
    <w:rsid w:val="00895ECF"/>
    <w:rsid w:val="00897D51"/>
    <w:rsid w:val="008A08C3"/>
    <w:rsid w:val="008A134F"/>
    <w:rsid w:val="008A19EE"/>
    <w:rsid w:val="008A20F0"/>
    <w:rsid w:val="008A237E"/>
    <w:rsid w:val="008A2A87"/>
    <w:rsid w:val="008A2B1A"/>
    <w:rsid w:val="008A2D51"/>
    <w:rsid w:val="008A3FF1"/>
    <w:rsid w:val="008A4036"/>
    <w:rsid w:val="008A4BDE"/>
    <w:rsid w:val="008A62ED"/>
    <w:rsid w:val="008A667A"/>
    <w:rsid w:val="008A6CB4"/>
    <w:rsid w:val="008A6E74"/>
    <w:rsid w:val="008A7B42"/>
    <w:rsid w:val="008A7EA8"/>
    <w:rsid w:val="008A7EAE"/>
    <w:rsid w:val="008B08BC"/>
    <w:rsid w:val="008B0B5B"/>
    <w:rsid w:val="008B0F90"/>
    <w:rsid w:val="008B1618"/>
    <w:rsid w:val="008B19B2"/>
    <w:rsid w:val="008B26F5"/>
    <w:rsid w:val="008B2795"/>
    <w:rsid w:val="008B3C62"/>
    <w:rsid w:val="008B41DB"/>
    <w:rsid w:val="008B4FFB"/>
    <w:rsid w:val="008C0489"/>
    <w:rsid w:val="008C0C8A"/>
    <w:rsid w:val="008C0E5C"/>
    <w:rsid w:val="008C1DE0"/>
    <w:rsid w:val="008C22F1"/>
    <w:rsid w:val="008C23BC"/>
    <w:rsid w:val="008C2F51"/>
    <w:rsid w:val="008C3CF0"/>
    <w:rsid w:val="008C4AC9"/>
    <w:rsid w:val="008C5720"/>
    <w:rsid w:val="008C5726"/>
    <w:rsid w:val="008C628C"/>
    <w:rsid w:val="008C6B55"/>
    <w:rsid w:val="008D096C"/>
    <w:rsid w:val="008D1672"/>
    <w:rsid w:val="008D1783"/>
    <w:rsid w:val="008D1FA0"/>
    <w:rsid w:val="008D25FD"/>
    <w:rsid w:val="008D2901"/>
    <w:rsid w:val="008D365F"/>
    <w:rsid w:val="008D484F"/>
    <w:rsid w:val="008D48E1"/>
    <w:rsid w:val="008D4BF8"/>
    <w:rsid w:val="008D4C1C"/>
    <w:rsid w:val="008D5067"/>
    <w:rsid w:val="008D68E4"/>
    <w:rsid w:val="008E099B"/>
    <w:rsid w:val="008E1D00"/>
    <w:rsid w:val="008E2A0E"/>
    <w:rsid w:val="008E2A8F"/>
    <w:rsid w:val="008E2CCD"/>
    <w:rsid w:val="008E357D"/>
    <w:rsid w:val="008E3755"/>
    <w:rsid w:val="008E376D"/>
    <w:rsid w:val="008E533C"/>
    <w:rsid w:val="008E691F"/>
    <w:rsid w:val="008F1835"/>
    <w:rsid w:val="008F2039"/>
    <w:rsid w:val="008F26D7"/>
    <w:rsid w:val="008F2B9A"/>
    <w:rsid w:val="008F43EE"/>
    <w:rsid w:val="008F43FF"/>
    <w:rsid w:val="008F4719"/>
    <w:rsid w:val="008F489A"/>
    <w:rsid w:val="008F4F76"/>
    <w:rsid w:val="008F562A"/>
    <w:rsid w:val="008F6419"/>
    <w:rsid w:val="008F6422"/>
    <w:rsid w:val="008F656F"/>
    <w:rsid w:val="008F66F0"/>
    <w:rsid w:val="008F76D9"/>
    <w:rsid w:val="00900400"/>
    <w:rsid w:val="00900A5E"/>
    <w:rsid w:val="0090157C"/>
    <w:rsid w:val="0090165D"/>
    <w:rsid w:val="00901776"/>
    <w:rsid w:val="00901A3B"/>
    <w:rsid w:val="009022B0"/>
    <w:rsid w:val="009025CA"/>
    <w:rsid w:val="00902E2E"/>
    <w:rsid w:val="00902F83"/>
    <w:rsid w:val="009038F2"/>
    <w:rsid w:val="00903F00"/>
    <w:rsid w:val="0090483D"/>
    <w:rsid w:val="00907249"/>
    <w:rsid w:val="00907A70"/>
    <w:rsid w:val="009108E3"/>
    <w:rsid w:val="009112FF"/>
    <w:rsid w:val="00912781"/>
    <w:rsid w:val="0091378F"/>
    <w:rsid w:val="0091458D"/>
    <w:rsid w:val="00915118"/>
    <w:rsid w:val="00915B18"/>
    <w:rsid w:val="009163D4"/>
    <w:rsid w:val="00916B4F"/>
    <w:rsid w:val="00916E37"/>
    <w:rsid w:val="00917AD0"/>
    <w:rsid w:val="009204EE"/>
    <w:rsid w:val="00920553"/>
    <w:rsid w:val="0092215B"/>
    <w:rsid w:val="009232B2"/>
    <w:rsid w:val="00923B70"/>
    <w:rsid w:val="0092443F"/>
    <w:rsid w:val="009247A8"/>
    <w:rsid w:val="009268FB"/>
    <w:rsid w:val="009274DF"/>
    <w:rsid w:val="00927E8A"/>
    <w:rsid w:val="00927F95"/>
    <w:rsid w:val="009315EA"/>
    <w:rsid w:val="00931A3B"/>
    <w:rsid w:val="00935354"/>
    <w:rsid w:val="0093586A"/>
    <w:rsid w:val="00936B08"/>
    <w:rsid w:val="00936DBB"/>
    <w:rsid w:val="009370C2"/>
    <w:rsid w:val="009371AF"/>
    <w:rsid w:val="009404D5"/>
    <w:rsid w:val="00942289"/>
    <w:rsid w:val="00942C15"/>
    <w:rsid w:val="00943BE9"/>
    <w:rsid w:val="00943DD8"/>
    <w:rsid w:val="00943EA2"/>
    <w:rsid w:val="00943F11"/>
    <w:rsid w:val="0094420C"/>
    <w:rsid w:val="00944ED8"/>
    <w:rsid w:val="00947142"/>
    <w:rsid w:val="009474F0"/>
    <w:rsid w:val="009509B1"/>
    <w:rsid w:val="00952C35"/>
    <w:rsid w:val="0095303D"/>
    <w:rsid w:val="00953292"/>
    <w:rsid w:val="00953828"/>
    <w:rsid w:val="0095406A"/>
    <w:rsid w:val="009548CC"/>
    <w:rsid w:val="00955661"/>
    <w:rsid w:val="009556B1"/>
    <w:rsid w:val="009558A2"/>
    <w:rsid w:val="00957298"/>
    <w:rsid w:val="00957400"/>
    <w:rsid w:val="009576C4"/>
    <w:rsid w:val="009604A4"/>
    <w:rsid w:val="00960C17"/>
    <w:rsid w:val="00961396"/>
    <w:rsid w:val="00961552"/>
    <w:rsid w:val="009616EB"/>
    <w:rsid w:val="00961B4E"/>
    <w:rsid w:val="00961FBA"/>
    <w:rsid w:val="00963B3C"/>
    <w:rsid w:val="00964ABD"/>
    <w:rsid w:val="0096603D"/>
    <w:rsid w:val="00966E16"/>
    <w:rsid w:val="00967CF0"/>
    <w:rsid w:val="009702FD"/>
    <w:rsid w:val="009711A5"/>
    <w:rsid w:val="00971718"/>
    <w:rsid w:val="00971C21"/>
    <w:rsid w:val="009721E3"/>
    <w:rsid w:val="0097233D"/>
    <w:rsid w:val="0097316C"/>
    <w:rsid w:val="0097326F"/>
    <w:rsid w:val="00973E73"/>
    <w:rsid w:val="00976F3B"/>
    <w:rsid w:val="00976F4F"/>
    <w:rsid w:val="00977183"/>
    <w:rsid w:val="00982624"/>
    <w:rsid w:val="00982BD0"/>
    <w:rsid w:val="00983299"/>
    <w:rsid w:val="00983329"/>
    <w:rsid w:val="0098427E"/>
    <w:rsid w:val="009848DD"/>
    <w:rsid w:val="00985A9F"/>
    <w:rsid w:val="00986EC8"/>
    <w:rsid w:val="009874C4"/>
    <w:rsid w:val="00987903"/>
    <w:rsid w:val="00990E97"/>
    <w:rsid w:val="0099133A"/>
    <w:rsid w:val="009914D1"/>
    <w:rsid w:val="00994607"/>
    <w:rsid w:val="009953E1"/>
    <w:rsid w:val="009957CD"/>
    <w:rsid w:val="0099693B"/>
    <w:rsid w:val="00997DD9"/>
    <w:rsid w:val="009A02C1"/>
    <w:rsid w:val="009A0920"/>
    <w:rsid w:val="009A1DA6"/>
    <w:rsid w:val="009A204F"/>
    <w:rsid w:val="009A29BC"/>
    <w:rsid w:val="009A4615"/>
    <w:rsid w:val="009A49E9"/>
    <w:rsid w:val="009A6713"/>
    <w:rsid w:val="009A7204"/>
    <w:rsid w:val="009B0434"/>
    <w:rsid w:val="009B0CFC"/>
    <w:rsid w:val="009B1649"/>
    <w:rsid w:val="009B25E6"/>
    <w:rsid w:val="009B2D42"/>
    <w:rsid w:val="009B466F"/>
    <w:rsid w:val="009B4787"/>
    <w:rsid w:val="009B4DBA"/>
    <w:rsid w:val="009B50B4"/>
    <w:rsid w:val="009B5244"/>
    <w:rsid w:val="009B5C42"/>
    <w:rsid w:val="009B6E78"/>
    <w:rsid w:val="009C0491"/>
    <w:rsid w:val="009C13B2"/>
    <w:rsid w:val="009C2717"/>
    <w:rsid w:val="009C29DB"/>
    <w:rsid w:val="009C2D6D"/>
    <w:rsid w:val="009C3379"/>
    <w:rsid w:val="009C34BC"/>
    <w:rsid w:val="009C4153"/>
    <w:rsid w:val="009C4EB1"/>
    <w:rsid w:val="009C506C"/>
    <w:rsid w:val="009C67F6"/>
    <w:rsid w:val="009C6BE0"/>
    <w:rsid w:val="009C6E1A"/>
    <w:rsid w:val="009C74FF"/>
    <w:rsid w:val="009C763C"/>
    <w:rsid w:val="009D0174"/>
    <w:rsid w:val="009D07C7"/>
    <w:rsid w:val="009D12CB"/>
    <w:rsid w:val="009D143A"/>
    <w:rsid w:val="009D2F59"/>
    <w:rsid w:val="009D30D7"/>
    <w:rsid w:val="009D371D"/>
    <w:rsid w:val="009D420A"/>
    <w:rsid w:val="009D5445"/>
    <w:rsid w:val="009D59FD"/>
    <w:rsid w:val="009D643D"/>
    <w:rsid w:val="009D7C77"/>
    <w:rsid w:val="009E08F3"/>
    <w:rsid w:val="009E0B83"/>
    <w:rsid w:val="009E2952"/>
    <w:rsid w:val="009E324C"/>
    <w:rsid w:val="009E332A"/>
    <w:rsid w:val="009E3A54"/>
    <w:rsid w:val="009E4294"/>
    <w:rsid w:val="009E5130"/>
    <w:rsid w:val="009E521C"/>
    <w:rsid w:val="009E576B"/>
    <w:rsid w:val="009E5895"/>
    <w:rsid w:val="009E61B8"/>
    <w:rsid w:val="009E68FD"/>
    <w:rsid w:val="009E6D78"/>
    <w:rsid w:val="009F02A3"/>
    <w:rsid w:val="009F033E"/>
    <w:rsid w:val="009F08A3"/>
    <w:rsid w:val="009F09CC"/>
    <w:rsid w:val="009F0AFD"/>
    <w:rsid w:val="009F2958"/>
    <w:rsid w:val="009F2CA9"/>
    <w:rsid w:val="009F3990"/>
    <w:rsid w:val="009F3F7D"/>
    <w:rsid w:val="009F4176"/>
    <w:rsid w:val="009F49EC"/>
    <w:rsid w:val="009F7EBE"/>
    <w:rsid w:val="00A00858"/>
    <w:rsid w:val="00A00C55"/>
    <w:rsid w:val="00A01241"/>
    <w:rsid w:val="00A013FA"/>
    <w:rsid w:val="00A017AE"/>
    <w:rsid w:val="00A03702"/>
    <w:rsid w:val="00A0445F"/>
    <w:rsid w:val="00A05546"/>
    <w:rsid w:val="00A058A9"/>
    <w:rsid w:val="00A05BCA"/>
    <w:rsid w:val="00A06727"/>
    <w:rsid w:val="00A06ACF"/>
    <w:rsid w:val="00A105CA"/>
    <w:rsid w:val="00A10FE2"/>
    <w:rsid w:val="00A113F9"/>
    <w:rsid w:val="00A124D9"/>
    <w:rsid w:val="00A12BE9"/>
    <w:rsid w:val="00A12E78"/>
    <w:rsid w:val="00A13765"/>
    <w:rsid w:val="00A137E6"/>
    <w:rsid w:val="00A13B83"/>
    <w:rsid w:val="00A13C4D"/>
    <w:rsid w:val="00A14820"/>
    <w:rsid w:val="00A14D57"/>
    <w:rsid w:val="00A1571B"/>
    <w:rsid w:val="00A15E1E"/>
    <w:rsid w:val="00A16B77"/>
    <w:rsid w:val="00A16C0B"/>
    <w:rsid w:val="00A17D46"/>
    <w:rsid w:val="00A20417"/>
    <w:rsid w:val="00A2109D"/>
    <w:rsid w:val="00A21D92"/>
    <w:rsid w:val="00A223C9"/>
    <w:rsid w:val="00A22816"/>
    <w:rsid w:val="00A23037"/>
    <w:rsid w:val="00A239D2"/>
    <w:rsid w:val="00A24667"/>
    <w:rsid w:val="00A24F9C"/>
    <w:rsid w:val="00A25686"/>
    <w:rsid w:val="00A25AB2"/>
    <w:rsid w:val="00A25BD8"/>
    <w:rsid w:val="00A26295"/>
    <w:rsid w:val="00A26B59"/>
    <w:rsid w:val="00A26C61"/>
    <w:rsid w:val="00A27207"/>
    <w:rsid w:val="00A277EB"/>
    <w:rsid w:val="00A27908"/>
    <w:rsid w:val="00A3007E"/>
    <w:rsid w:val="00A306A8"/>
    <w:rsid w:val="00A312B8"/>
    <w:rsid w:val="00A3238A"/>
    <w:rsid w:val="00A3249D"/>
    <w:rsid w:val="00A325D2"/>
    <w:rsid w:val="00A326EC"/>
    <w:rsid w:val="00A33CF6"/>
    <w:rsid w:val="00A34333"/>
    <w:rsid w:val="00A34AB2"/>
    <w:rsid w:val="00A3503E"/>
    <w:rsid w:val="00A35113"/>
    <w:rsid w:val="00A358E0"/>
    <w:rsid w:val="00A35CE0"/>
    <w:rsid w:val="00A3641B"/>
    <w:rsid w:val="00A36C17"/>
    <w:rsid w:val="00A3735A"/>
    <w:rsid w:val="00A40910"/>
    <w:rsid w:val="00A40DD3"/>
    <w:rsid w:val="00A40FFD"/>
    <w:rsid w:val="00A410BF"/>
    <w:rsid w:val="00A4147F"/>
    <w:rsid w:val="00A41E3D"/>
    <w:rsid w:val="00A41FFE"/>
    <w:rsid w:val="00A42868"/>
    <w:rsid w:val="00A432D1"/>
    <w:rsid w:val="00A46706"/>
    <w:rsid w:val="00A467DD"/>
    <w:rsid w:val="00A508F3"/>
    <w:rsid w:val="00A5094D"/>
    <w:rsid w:val="00A517F5"/>
    <w:rsid w:val="00A51834"/>
    <w:rsid w:val="00A519D2"/>
    <w:rsid w:val="00A53D82"/>
    <w:rsid w:val="00A56BEF"/>
    <w:rsid w:val="00A60E59"/>
    <w:rsid w:val="00A621D0"/>
    <w:rsid w:val="00A630EB"/>
    <w:rsid w:val="00A6327E"/>
    <w:rsid w:val="00A6346A"/>
    <w:rsid w:val="00A63661"/>
    <w:rsid w:val="00A63B1E"/>
    <w:rsid w:val="00A64EF7"/>
    <w:rsid w:val="00A651B5"/>
    <w:rsid w:val="00A65D29"/>
    <w:rsid w:val="00A664B2"/>
    <w:rsid w:val="00A66A80"/>
    <w:rsid w:val="00A66DF5"/>
    <w:rsid w:val="00A6744C"/>
    <w:rsid w:val="00A677CC"/>
    <w:rsid w:val="00A67815"/>
    <w:rsid w:val="00A70B51"/>
    <w:rsid w:val="00A71B59"/>
    <w:rsid w:val="00A71DBC"/>
    <w:rsid w:val="00A7270E"/>
    <w:rsid w:val="00A7292C"/>
    <w:rsid w:val="00A73445"/>
    <w:rsid w:val="00A73756"/>
    <w:rsid w:val="00A73BF5"/>
    <w:rsid w:val="00A744E9"/>
    <w:rsid w:val="00A74AAD"/>
    <w:rsid w:val="00A74E30"/>
    <w:rsid w:val="00A76D03"/>
    <w:rsid w:val="00A778A8"/>
    <w:rsid w:val="00A80BF2"/>
    <w:rsid w:val="00A80ECC"/>
    <w:rsid w:val="00A81157"/>
    <w:rsid w:val="00A814C6"/>
    <w:rsid w:val="00A819AF"/>
    <w:rsid w:val="00A825D1"/>
    <w:rsid w:val="00A82619"/>
    <w:rsid w:val="00A82B6C"/>
    <w:rsid w:val="00A834C8"/>
    <w:rsid w:val="00A84331"/>
    <w:rsid w:val="00A84353"/>
    <w:rsid w:val="00A84D52"/>
    <w:rsid w:val="00A84E05"/>
    <w:rsid w:val="00A8571C"/>
    <w:rsid w:val="00A86E25"/>
    <w:rsid w:val="00A86EF2"/>
    <w:rsid w:val="00A8709A"/>
    <w:rsid w:val="00A90AEA"/>
    <w:rsid w:val="00A91010"/>
    <w:rsid w:val="00A91477"/>
    <w:rsid w:val="00A91CFB"/>
    <w:rsid w:val="00A92C4C"/>
    <w:rsid w:val="00A93540"/>
    <w:rsid w:val="00A9544D"/>
    <w:rsid w:val="00A96311"/>
    <w:rsid w:val="00A96EB0"/>
    <w:rsid w:val="00A97005"/>
    <w:rsid w:val="00A97351"/>
    <w:rsid w:val="00A9763F"/>
    <w:rsid w:val="00A978ED"/>
    <w:rsid w:val="00AA040B"/>
    <w:rsid w:val="00AA0416"/>
    <w:rsid w:val="00AA2E75"/>
    <w:rsid w:val="00AA35A2"/>
    <w:rsid w:val="00AA3EE1"/>
    <w:rsid w:val="00AA5FC8"/>
    <w:rsid w:val="00AA6D17"/>
    <w:rsid w:val="00AB078D"/>
    <w:rsid w:val="00AB0E42"/>
    <w:rsid w:val="00AB11C5"/>
    <w:rsid w:val="00AB1271"/>
    <w:rsid w:val="00AB1410"/>
    <w:rsid w:val="00AB2C05"/>
    <w:rsid w:val="00AB3C54"/>
    <w:rsid w:val="00AB4503"/>
    <w:rsid w:val="00AB60C0"/>
    <w:rsid w:val="00AB66A1"/>
    <w:rsid w:val="00AB68EB"/>
    <w:rsid w:val="00AB7288"/>
    <w:rsid w:val="00AC0215"/>
    <w:rsid w:val="00AC2024"/>
    <w:rsid w:val="00AC289D"/>
    <w:rsid w:val="00AC2DFC"/>
    <w:rsid w:val="00AC30CE"/>
    <w:rsid w:val="00AC3C40"/>
    <w:rsid w:val="00AC5B93"/>
    <w:rsid w:val="00AC5FDF"/>
    <w:rsid w:val="00AC6CFA"/>
    <w:rsid w:val="00AC6D61"/>
    <w:rsid w:val="00AC71E8"/>
    <w:rsid w:val="00AC72CE"/>
    <w:rsid w:val="00AC7D9C"/>
    <w:rsid w:val="00AC7DE2"/>
    <w:rsid w:val="00AD0178"/>
    <w:rsid w:val="00AD04CD"/>
    <w:rsid w:val="00AD0EF4"/>
    <w:rsid w:val="00AD143D"/>
    <w:rsid w:val="00AD1F41"/>
    <w:rsid w:val="00AD3B2F"/>
    <w:rsid w:val="00AD3E8B"/>
    <w:rsid w:val="00AD3F10"/>
    <w:rsid w:val="00AD4CA4"/>
    <w:rsid w:val="00AD5388"/>
    <w:rsid w:val="00AD57BB"/>
    <w:rsid w:val="00AD5CED"/>
    <w:rsid w:val="00AD7034"/>
    <w:rsid w:val="00AE2B5C"/>
    <w:rsid w:val="00AE2FB3"/>
    <w:rsid w:val="00AE3264"/>
    <w:rsid w:val="00AE39C4"/>
    <w:rsid w:val="00AE3A84"/>
    <w:rsid w:val="00AE55C7"/>
    <w:rsid w:val="00AF0612"/>
    <w:rsid w:val="00AF1415"/>
    <w:rsid w:val="00AF1642"/>
    <w:rsid w:val="00AF2685"/>
    <w:rsid w:val="00AF447D"/>
    <w:rsid w:val="00AF5C16"/>
    <w:rsid w:val="00AF6AB6"/>
    <w:rsid w:val="00AF7004"/>
    <w:rsid w:val="00AF76A5"/>
    <w:rsid w:val="00AF7C7A"/>
    <w:rsid w:val="00AF7DFE"/>
    <w:rsid w:val="00B0067C"/>
    <w:rsid w:val="00B00A19"/>
    <w:rsid w:val="00B01479"/>
    <w:rsid w:val="00B0270B"/>
    <w:rsid w:val="00B030D9"/>
    <w:rsid w:val="00B04338"/>
    <w:rsid w:val="00B04AC5"/>
    <w:rsid w:val="00B061F5"/>
    <w:rsid w:val="00B068F5"/>
    <w:rsid w:val="00B0699D"/>
    <w:rsid w:val="00B079AE"/>
    <w:rsid w:val="00B07BDC"/>
    <w:rsid w:val="00B10094"/>
    <w:rsid w:val="00B10348"/>
    <w:rsid w:val="00B10721"/>
    <w:rsid w:val="00B10AF2"/>
    <w:rsid w:val="00B10B09"/>
    <w:rsid w:val="00B11FD8"/>
    <w:rsid w:val="00B124C3"/>
    <w:rsid w:val="00B12B54"/>
    <w:rsid w:val="00B16DFE"/>
    <w:rsid w:val="00B178BB"/>
    <w:rsid w:val="00B17BA9"/>
    <w:rsid w:val="00B203FD"/>
    <w:rsid w:val="00B20439"/>
    <w:rsid w:val="00B20EC5"/>
    <w:rsid w:val="00B21512"/>
    <w:rsid w:val="00B21913"/>
    <w:rsid w:val="00B21A02"/>
    <w:rsid w:val="00B22062"/>
    <w:rsid w:val="00B22236"/>
    <w:rsid w:val="00B231F4"/>
    <w:rsid w:val="00B239C1"/>
    <w:rsid w:val="00B24558"/>
    <w:rsid w:val="00B24E07"/>
    <w:rsid w:val="00B25400"/>
    <w:rsid w:val="00B254BB"/>
    <w:rsid w:val="00B25D5F"/>
    <w:rsid w:val="00B25FCE"/>
    <w:rsid w:val="00B26772"/>
    <w:rsid w:val="00B26D3F"/>
    <w:rsid w:val="00B272C6"/>
    <w:rsid w:val="00B27377"/>
    <w:rsid w:val="00B27862"/>
    <w:rsid w:val="00B310B2"/>
    <w:rsid w:val="00B312DA"/>
    <w:rsid w:val="00B316DB"/>
    <w:rsid w:val="00B31B2E"/>
    <w:rsid w:val="00B32F7B"/>
    <w:rsid w:val="00B33BBD"/>
    <w:rsid w:val="00B3615E"/>
    <w:rsid w:val="00B36650"/>
    <w:rsid w:val="00B36656"/>
    <w:rsid w:val="00B36736"/>
    <w:rsid w:val="00B40DEE"/>
    <w:rsid w:val="00B43640"/>
    <w:rsid w:val="00B43B40"/>
    <w:rsid w:val="00B43E9B"/>
    <w:rsid w:val="00B450C6"/>
    <w:rsid w:val="00B45BF9"/>
    <w:rsid w:val="00B46125"/>
    <w:rsid w:val="00B464E2"/>
    <w:rsid w:val="00B46875"/>
    <w:rsid w:val="00B4688C"/>
    <w:rsid w:val="00B468A2"/>
    <w:rsid w:val="00B4693D"/>
    <w:rsid w:val="00B46F20"/>
    <w:rsid w:val="00B479B2"/>
    <w:rsid w:val="00B479B9"/>
    <w:rsid w:val="00B47A72"/>
    <w:rsid w:val="00B51851"/>
    <w:rsid w:val="00B51DAF"/>
    <w:rsid w:val="00B52928"/>
    <w:rsid w:val="00B52932"/>
    <w:rsid w:val="00B53FAA"/>
    <w:rsid w:val="00B542BF"/>
    <w:rsid w:val="00B55177"/>
    <w:rsid w:val="00B55514"/>
    <w:rsid w:val="00B559A2"/>
    <w:rsid w:val="00B55C62"/>
    <w:rsid w:val="00B5633C"/>
    <w:rsid w:val="00B57181"/>
    <w:rsid w:val="00B578D2"/>
    <w:rsid w:val="00B60B0C"/>
    <w:rsid w:val="00B60D4A"/>
    <w:rsid w:val="00B61872"/>
    <w:rsid w:val="00B62FC5"/>
    <w:rsid w:val="00B644D8"/>
    <w:rsid w:val="00B646D2"/>
    <w:rsid w:val="00B64D06"/>
    <w:rsid w:val="00B6588D"/>
    <w:rsid w:val="00B6617E"/>
    <w:rsid w:val="00B6663C"/>
    <w:rsid w:val="00B6713C"/>
    <w:rsid w:val="00B67418"/>
    <w:rsid w:val="00B67B22"/>
    <w:rsid w:val="00B67DAB"/>
    <w:rsid w:val="00B72374"/>
    <w:rsid w:val="00B73557"/>
    <w:rsid w:val="00B735ED"/>
    <w:rsid w:val="00B7374B"/>
    <w:rsid w:val="00B73C4A"/>
    <w:rsid w:val="00B75F99"/>
    <w:rsid w:val="00B7734D"/>
    <w:rsid w:val="00B7748A"/>
    <w:rsid w:val="00B77B0D"/>
    <w:rsid w:val="00B80316"/>
    <w:rsid w:val="00B805D6"/>
    <w:rsid w:val="00B81536"/>
    <w:rsid w:val="00B8247D"/>
    <w:rsid w:val="00B836D9"/>
    <w:rsid w:val="00B83BB3"/>
    <w:rsid w:val="00B83BFF"/>
    <w:rsid w:val="00B83CDC"/>
    <w:rsid w:val="00B84069"/>
    <w:rsid w:val="00B8447F"/>
    <w:rsid w:val="00B85C02"/>
    <w:rsid w:val="00B85EF6"/>
    <w:rsid w:val="00B8713F"/>
    <w:rsid w:val="00B8769D"/>
    <w:rsid w:val="00B90248"/>
    <w:rsid w:val="00B9024E"/>
    <w:rsid w:val="00B905A1"/>
    <w:rsid w:val="00B914B7"/>
    <w:rsid w:val="00B91A18"/>
    <w:rsid w:val="00B938EB"/>
    <w:rsid w:val="00B95B93"/>
    <w:rsid w:val="00B970B9"/>
    <w:rsid w:val="00B97B37"/>
    <w:rsid w:val="00BA16C6"/>
    <w:rsid w:val="00BA25DC"/>
    <w:rsid w:val="00BA2CC6"/>
    <w:rsid w:val="00BA3906"/>
    <w:rsid w:val="00BA39CD"/>
    <w:rsid w:val="00BA3F71"/>
    <w:rsid w:val="00BA4073"/>
    <w:rsid w:val="00BA41E8"/>
    <w:rsid w:val="00BA5012"/>
    <w:rsid w:val="00BA648D"/>
    <w:rsid w:val="00BA65D2"/>
    <w:rsid w:val="00BA6D10"/>
    <w:rsid w:val="00BA6E20"/>
    <w:rsid w:val="00BA7C02"/>
    <w:rsid w:val="00BA7CA7"/>
    <w:rsid w:val="00BB00F6"/>
    <w:rsid w:val="00BB03E6"/>
    <w:rsid w:val="00BB0EF3"/>
    <w:rsid w:val="00BB2534"/>
    <w:rsid w:val="00BB262C"/>
    <w:rsid w:val="00BB2A7D"/>
    <w:rsid w:val="00BB2FE4"/>
    <w:rsid w:val="00BB339D"/>
    <w:rsid w:val="00BB382B"/>
    <w:rsid w:val="00BB3C9C"/>
    <w:rsid w:val="00BB3CD0"/>
    <w:rsid w:val="00BB476F"/>
    <w:rsid w:val="00BB5851"/>
    <w:rsid w:val="00BB5EC8"/>
    <w:rsid w:val="00BB641D"/>
    <w:rsid w:val="00BB6526"/>
    <w:rsid w:val="00BC02FB"/>
    <w:rsid w:val="00BC11A0"/>
    <w:rsid w:val="00BC187A"/>
    <w:rsid w:val="00BC20CA"/>
    <w:rsid w:val="00BC2336"/>
    <w:rsid w:val="00BC3845"/>
    <w:rsid w:val="00BC3C68"/>
    <w:rsid w:val="00BC5615"/>
    <w:rsid w:val="00BC691F"/>
    <w:rsid w:val="00BC6F43"/>
    <w:rsid w:val="00BC7AC4"/>
    <w:rsid w:val="00BC7C45"/>
    <w:rsid w:val="00BD0948"/>
    <w:rsid w:val="00BD205D"/>
    <w:rsid w:val="00BD24C1"/>
    <w:rsid w:val="00BD26B4"/>
    <w:rsid w:val="00BD3AC8"/>
    <w:rsid w:val="00BD43A0"/>
    <w:rsid w:val="00BD4BDF"/>
    <w:rsid w:val="00BD4C9C"/>
    <w:rsid w:val="00BD4DF6"/>
    <w:rsid w:val="00BD4EF8"/>
    <w:rsid w:val="00BD57F7"/>
    <w:rsid w:val="00BD6D69"/>
    <w:rsid w:val="00BD79BE"/>
    <w:rsid w:val="00BD7CBE"/>
    <w:rsid w:val="00BE03A7"/>
    <w:rsid w:val="00BE1659"/>
    <w:rsid w:val="00BE16EC"/>
    <w:rsid w:val="00BE1A95"/>
    <w:rsid w:val="00BE2BF8"/>
    <w:rsid w:val="00BE3043"/>
    <w:rsid w:val="00BE3081"/>
    <w:rsid w:val="00BE3546"/>
    <w:rsid w:val="00BE3F9B"/>
    <w:rsid w:val="00BE4A6B"/>
    <w:rsid w:val="00BE4B19"/>
    <w:rsid w:val="00BE587D"/>
    <w:rsid w:val="00BE5D24"/>
    <w:rsid w:val="00BE65D5"/>
    <w:rsid w:val="00BE7366"/>
    <w:rsid w:val="00BE7653"/>
    <w:rsid w:val="00BF0E19"/>
    <w:rsid w:val="00BF1030"/>
    <w:rsid w:val="00BF12F8"/>
    <w:rsid w:val="00BF135D"/>
    <w:rsid w:val="00BF1E84"/>
    <w:rsid w:val="00BF20D2"/>
    <w:rsid w:val="00BF243D"/>
    <w:rsid w:val="00BF2795"/>
    <w:rsid w:val="00BF3420"/>
    <w:rsid w:val="00BF55DB"/>
    <w:rsid w:val="00BF56B0"/>
    <w:rsid w:val="00BF58FE"/>
    <w:rsid w:val="00BF7520"/>
    <w:rsid w:val="00BF7747"/>
    <w:rsid w:val="00BF79A6"/>
    <w:rsid w:val="00BF7F67"/>
    <w:rsid w:val="00C00339"/>
    <w:rsid w:val="00C003A0"/>
    <w:rsid w:val="00C02F81"/>
    <w:rsid w:val="00C0344B"/>
    <w:rsid w:val="00C040CF"/>
    <w:rsid w:val="00C04F17"/>
    <w:rsid w:val="00C05039"/>
    <w:rsid w:val="00C068B5"/>
    <w:rsid w:val="00C06BFF"/>
    <w:rsid w:val="00C10CFD"/>
    <w:rsid w:val="00C1139E"/>
    <w:rsid w:val="00C11B0C"/>
    <w:rsid w:val="00C14355"/>
    <w:rsid w:val="00C16AB6"/>
    <w:rsid w:val="00C176BA"/>
    <w:rsid w:val="00C17BA3"/>
    <w:rsid w:val="00C17CB7"/>
    <w:rsid w:val="00C20613"/>
    <w:rsid w:val="00C21034"/>
    <w:rsid w:val="00C21264"/>
    <w:rsid w:val="00C21D08"/>
    <w:rsid w:val="00C21EFE"/>
    <w:rsid w:val="00C2274E"/>
    <w:rsid w:val="00C2277B"/>
    <w:rsid w:val="00C2312B"/>
    <w:rsid w:val="00C23272"/>
    <w:rsid w:val="00C234A9"/>
    <w:rsid w:val="00C237FF"/>
    <w:rsid w:val="00C23F78"/>
    <w:rsid w:val="00C24394"/>
    <w:rsid w:val="00C24407"/>
    <w:rsid w:val="00C24790"/>
    <w:rsid w:val="00C24959"/>
    <w:rsid w:val="00C24BE2"/>
    <w:rsid w:val="00C251ED"/>
    <w:rsid w:val="00C256D2"/>
    <w:rsid w:val="00C265DA"/>
    <w:rsid w:val="00C27E3F"/>
    <w:rsid w:val="00C306BF"/>
    <w:rsid w:val="00C31A7B"/>
    <w:rsid w:val="00C32DEB"/>
    <w:rsid w:val="00C32F91"/>
    <w:rsid w:val="00C33E99"/>
    <w:rsid w:val="00C343AB"/>
    <w:rsid w:val="00C34464"/>
    <w:rsid w:val="00C35225"/>
    <w:rsid w:val="00C35A46"/>
    <w:rsid w:val="00C35CEF"/>
    <w:rsid w:val="00C3603C"/>
    <w:rsid w:val="00C375C4"/>
    <w:rsid w:val="00C406BE"/>
    <w:rsid w:val="00C40A87"/>
    <w:rsid w:val="00C40B9D"/>
    <w:rsid w:val="00C41E46"/>
    <w:rsid w:val="00C426A4"/>
    <w:rsid w:val="00C443F3"/>
    <w:rsid w:val="00C44841"/>
    <w:rsid w:val="00C44A27"/>
    <w:rsid w:val="00C44C34"/>
    <w:rsid w:val="00C4508E"/>
    <w:rsid w:val="00C47688"/>
    <w:rsid w:val="00C50FC0"/>
    <w:rsid w:val="00C51A48"/>
    <w:rsid w:val="00C52401"/>
    <w:rsid w:val="00C541A1"/>
    <w:rsid w:val="00C54B80"/>
    <w:rsid w:val="00C54CDF"/>
    <w:rsid w:val="00C54F6F"/>
    <w:rsid w:val="00C55339"/>
    <w:rsid w:val="00C5618E"/>
    <w:rsid w:val="00C608F4"/>
    <w:rsid w:val="00C60B0F"/>
    <w:rsid w:val="00C610CA"/>
    <w:rsid w:val="00C62692"/>
    <w:rsid w:val="00C629DA"/>
    <w:rsid w:val="00C62A14"/>
    <w:rsid w:val="00C62E12"/>
    <w:rsid w:val="00C62F1B"/>
    <w:rsid w:val="00C644A9"/>
    <w:rsid w:val="00C64FEC"/>
    <w:rsid w:val="00C65A88"/>
    <w:rsid w:val="00C65F19"/>
    <w:rsid w:val="00C66185"/>
    <w:rsid w:val="00C665DE"/>
    <w:rsid w:val="00C66A89"/>
    <w:rsid w:val="00C66C71"/>
    <w:rsid w:val="00C66E79"/>
    <w:rsid w:val="00C671FE"/>
    <w:rsid w:val="00C702F4"/>
    <w:rsid w:val="00C718B4"/>
    <w:rsid w:val="00C71911"/>
    <w:rsid w:val="00C71ABA"/>
    <w:rsid w:val="00C725BA"/>
    <w:rsid w:val="00C740E2"/>
    <w:rsid w:val="00C75ADA"/>
    <w:rsid w:val="00C75CC2"/>
    <w:rsid w:val="00C7615A"/>
    <w:rsid w:val="00C762E8"/>
    <w:rsid w:val="00C76484"/>
    <w:rsid w:val="00C769FE"/>
    <w:rsid w:val="00C77DE2"/>
    <w:rsid w:val="00C8003F"/>
    <w:rsid w:val="00C8091D"/>
    <w:rsid w:val="00C809AB"/>
    <w:rsid w:val="00C81AEF"/>
    <w:rsid w:val="00C81BBA"/>
    <w:rsid w:val="00C8269F"/>
    <w:rsid w:val="00C83B60"/>
    <w:rsid w:val="00C84D3D"/>
    <w:rsid w:val="00C853A1"/>
    <w:rsid w:val="00C85FB1"/>
    <w:rsid w:val="00C8686B"/>
    <w:rsid w:val="00C86F11"/>
    <w:rsid w:val="00C878F6"/>
    <w:rsid w:val="00C87E09"/>
    <w:rsid w:val="00C87EE6"/>
    <w:rsid w:val="00C9341E"/>
    <w:rsid w:val="00C93F13"/>
    <w:rsid w:val="00C95AB7"/>
    <w:rsid w:val="00C97A3B"/>
    <w:rsid w:val="00CA030E"/>
    <w:rsid w:val="00CA1779"/>
    <w:rsid w:val="00CA27E4"/>
    <w:rsid w:val="00CA3822"/>
    <w:rsid w:val="00CA541E"/>
    <w:rsid w:val="00CA59C9"/>
    <w:rsid w:val="00CA5E5F"/>
    <w:rsid w:val="00CA5F16"/>
    <w:rsid w:val="00CA66F1"/>
    <w:rsid w:val="00CA7BED"/>
    <w:rsid w:val="00CA7CBC"/>
    <w:rsid w:val="00CB2C03"/>
    <w:rsid w:val="00CB3D7D"/>
    <w:rsid w:val="00CB41FF"/>
    <w:rsid w:val="00CB4299"/>
    <w:rsid w:val="00CB4740"/>
    <w:rsid w:val="00CB47B5"/>
    <w:rsid w:val="00CB48CB"/>
    <w:rsid w:val="00CB6DC6"/>
    <w:rsid w:val="00CB7713"/>
    <w:rsid w:val="00CC01F6"/>
    <w:rsid w:val="00CC0D5D"/>
    <w:rsid w:val="00CC3870"/>
    <w:rsid w:val="00CC38BD"/>
    <w:rsid w:val="00CC3B6E"/>
    <w:rsid w:val="00CC41C9"/>
    <w:rsid w:val="00CC4854"/>
    <w:rsid w:val="00CC4A14"/>
    <w:rsid w:val="00CC5B93"/>
    <w:rsid w:val="00CC5C48"/>
    <w:rsid w:val="00CC5DDE"/>
    <w:rsid w:val="00CC5F9A"/>
    <w:rsid w:val="00CC67A3"/>
    <w:rsid w:val="00CD0511"/>
    <w:rsid w:val="00CD0C5C"/>
    <w:rsid w:val="00CD11CB"/>
    <w:rsid w:val="00CD1DBD"/>
    <w:rsid w:val="00CD2242"/>
    <w:rsid w:val="00CD2D92"/>
    <w:rsid w:val="00CD309A"/>
    <w:rsid w:val="00CD35D9"/>
    <w:rsid w:val="00CD5BB3"/>
    <w:rsid w:val="00CD6009"/>
    <w:rsid w:val="00CD72AF"/>
    <w:rsid w:val="00CE0752"/>
    <w:rsid w:val="00CE0E37"/>
    <w:rsid w:val="00CE0E8F"/>
    <w:rsid w:val="00CE2114"/>
    <w:rsid w:val="00CE2705"/>
    <w:rsid w:val="00CE299C"/>
    <w:rsid w:val="00CE29E6"/>
    <w:rsid w:val="00CE2CB1"/>
    <w:rsid w:val="00CE30B3"/>
    <w:rsid w:val="00CE41F0"/>
    <w:rsid w:val="00CE6284"/>
    <w:rsid w:val="00CE6E16"/>
    <w:rsid w:val="00CF036E"/>
    <w:rsid w:val="00CF0B7B"/>
    <w:rsid w:val="00CF12B6"/>
    <w:rsid w:val="00CF1574"/>
    <w:rsid w:val="00CF194B"/>
    <w:rsid w:val="00CF27E9"/>
    <w:rsid w:val="00CF34D8"/>
    <w:rsid w:val="00CF40BD"/>
    <w:rsid w:val="00CF5087"/>
    <w:rsid w:val="00CF5D7E"/>
    <w:rsid w:val="00CF6697"/>
    <w:rsid w:val="00CF72BB"/>
    <w:rsid w:val="00CF7E11"/>
    <w:rsid w:val="00D0022F"/>
    <w:rsid w:val="00D00A6D"/>
    <w:rsid w:val="00D021DF"/>
    <w:rsid w:val="00D0254B"/>
    <w:rsid w:val="00D03ACD"/>
    <w:rsid w:val="00D056DB"/>
    <w:rsid w:val="00D06CFE"/>
    <w:rsid w:val="00D1002B"/>
    <w:rsid w:val="00D101ED"/>
    <w:rsid w:val="00D105E5"/>
    <w:rsid w:val="00D10DDD"/>
    <w:rsid w:val="00D1122E"/>
    <w:rsid w:val="00D128EB"/>
    <w:rsid w:val="00D12A33"/>
    <w:rsid w:val="00D13F74"/>
    <w:rsid w:val="00D1526A"/>
    <w:rsid w:val="00D166BA"/>
    <w:rsid w:val="00D16A5E"/>
    <w:rsid w:val="00D16A5F"/>
    <w:rsid w:val="00D17C54"/>
    <w:rsid w:val="00D21AF9"/>
    <w:rsid w:val="00D21DAF"/>
    <w:rsid w:val="00D2208D"/>
    <w:rsid w:val="00D2288B"/>
    <w:rsid w:val="00D2288E"/>
    <w:rsid w:val="00D25CE8"/>
    <w:rsid w:val="00D25E00"/>
    <w:rsid w:val="00D26458"/>
    <w:rsid w:val="00D26D90"/>
    <w:rsid w:val="00D270D9"/>
    <w:rsid w:val="00D276A4"/>
    <w:rsid w:val="00D2790A"/>
    <w:rsid w:val="00D30D41"/>
    <w:rsid w:val="00D30D61"/>
    <w:rsid w:val="00D32082"/>
    <w:rsid w:val="00D33386"/>
    <w:rsid w:val="00D33C86"/>
    <w:rsid w:val="00D34B0A"/>
    <w:rsid w:val="00D350FF"/>
    <w:rsid w:val="00D35446"/>
    <w:rsid w:val="00D3767B"/>
    <w:rsid w:val="00D41145"/>
    <w:rsid w:val="00D41BE4"/>
    <w:rsid w:val="00D421C8"/>
    <w:rsid w:val="00D424D8"/>
    <w:rsid w:val="00D42867"/>
    <w:rsid w:val="00D441E1"/>
    <w:rsid w:val="00D44427"/>
    <w:rsid w:val="00D44B14"/>
    <w:rsid w:val="00D45E1E"/>
    <w:rsid w:val="00D4605E"/>
    <w:rsid w:val="00D4613A"/>
    <w:rsid w:val="00D46270"/>
    <w:rsid w:val="00D468DA"/>
    <w:rsid w:val="00D47244"/>
    <w:rsid w:val="00D47AA3"/>
    <w:rsid w:val="00D47CC7"/>
    <w:rsid w:val="00D508A8"/>
    <w:rsid w:val="00D51523"/>
    <w:rsid w:val="00D51A63"/>
    <w:rsid w:val="00D52E12"/>
    <w:rsid w:val="00D52E47"/>
    <w:rsid w:val="00D52E8D"/>
    <w:rsid w:val="00D53718"/>
    <w:rsid w:val="00D5372E"/>
    <w:rsid w:val="00D53B19"/>
    <w:rsid w:val="00D54011"/>
    <w:rsid w:val="00D54B5B"/>
    <w:rsid w:val="00D55580"/>
    <w:rsid w:val="00D55941"/>
    <w:rsid w:val="00D55B87"/>
    <w:rsid w:val="00D5756E"/>
    <w:rsid w:val="00D601FF"/>
    <w:rsid w:val="00D6040F"/>
    <w:rsid w:val="00D61082"/>
    <w:rsid w:val="00D62256"/>
    <w:rsid w:val="00D63A8D"/>
    <w:rsid w:val="00D66266"/>
    <w:rsid w:val="00D67360"/>
    <w:rsid w:val="00D70B63"/>
    <w:rsid w:val="00D71936"/>
    <w:rsid w:val="00D7204E"/>
    <w:rsid w:val="00D720E7"/>
    <w:rsid w:val="00D727AF"/>
    <w:rsid w:val="00D72B7F"/>
    <w:rsid w:val="00D73052"/>
    <w:rsid w:val="00D733A8"/>
    <w:rsid w:val="00D7397E"/>
    <w:rsid w:val="00D73D63"/>
    <w:rsid w:val="00D74514"/>
    <w:rsid w:val="00D747ED"/>
    <w:rsid w:val="00D75FFE"/>
    <w:rsid w:val="00D76AA3"/>
    <w:rsid w:val="00D76BB1"/>
    <w:rsid w:val="00D77461"/>
    <w:rsid w:val="00D77BA3"/>
    <w:rsid w:val="00D80385"/>
    <w:rsid w:val="00D809AA"/>
    <w:rsid w:val="00D80CD3"/>
    <w:rsid w:val="00D82431"/>
    <w:rsid w:val="00D853C3"/>
    <w:rsid w:val="00D86A28"/>
    <w:rsid w:val="00D87587"/>
    <w:rsid w:val="00D903B8"/>
    <w:rsid w:val="00D90658"/>
    <w:rsid w:val="00D90891"/>
    <w:rsid w:val="00D91AD8"/>
    <w:rsid w:val="00D92CB5"/>
    <w:rsid w:val="00D92CD9"/>
    <w:rsid w:val="00D92DE4"/>
    <w:rsid w:val="00D9385B"/>
    <w:rsid w:val="00D93B20"/>
    <w:rsid w:val="00D94759"/>
    <w:rsid w:val="00D94EAF"/>
    <w:rsid w:val="00D973EA"/>
    <w:rsid w:val="00D97694"/>
    <w:rsid w:val="00D979BD"/>
    <w:rsid w:val="00DA0A8C"/>
    <w:rsid w:val="00DA1E93"/>
    <w:rsid w:val="00DA48DB"/>
    <w:rsid w:val="00DA4BB1"/>
    <w:rsid w:val="00DB01CC"/>
    <w:rsid w:val="00DB0E96"/>
    <w:rsid w:val="00DB17C4"/>
    <w:rsid w:val="00DB189F"/>
    <w:rsid w:val="00DB2F52"/>
    <w:rsid w:val="00DB30CC"/>
    <w:rsid w:val="00DB358F"/>
    <w:rsid w:val="00DB3C45"/>
    <w:rsid w:val="00DB51D8"/>
    <w:rsid w:val="00DB52A0"/>
    <w:rsid w:val="00DB6E55"/>
    <w:rsid w:val="00DB7340"/>
    <w:rsid w:val="00DB7376"/>
    <w:rsid w:val="00DB73B0"/>
    <w:rsid w:val="00DC02BB"/>
    <w:rsid w:val="00DC066F"/>
    <w:rsid w:val="00DC0AB7"/>
    <w:rsid w:val="00DC16C1"/>
    <w:rsid w:val="00DC2396"/>
    <w:rsid w:val="00DC2642"/>
    <w:rsid w:val="00DC2A76"/>
    <w:rsid w:val="00DC2E7F"/>
    <w:rsid w:val="00DC3052"/>
    <w:rsid w:val="00DC312D"/>
    <w:rsid w:val="00DC6771"/>
    <w:rsid w:val="00DC6F5C"/>
    <w:rsid w:val="00DC702C"/>
    <w:rsid w:val="00DC768F"/>
    <w:rsid w:val="00DC7DF0"/>
    <w:rsid w:val="00DD022D"/>
    <w:rsid w:val="00DD0ABF"/>
    <w:rsid w:val="00DD0C69"/>
    <w:rsid w:val="00DD1123"/>
    <w:rsid w:val="00DD1535"/>
    <w:rsid w:val="00DD20CF"/>
    <w:rsid w:val="00DD3150"/>
    <w:rsid w:val="00DD43F2"/>
    <w:rsid w:val="00DD4879"/>
    <w:rsid w:val="00DD4BD6"/>
    <w:rsid w:val="00DD641B"/>
    <w:rsid w:val="00DD68C5"/>
    <w:rsid w:val="00DD775E"/>
    <w:rsid w:val="00DD7E67"/>
    <w:rsid w:val="00DE1063"/>
    <w:rsid w:val="00DE10B4"/>
    <w:rsid w:val="00DE1946"/>
    <w:rsid w:val="00DE1F1D"/>
    <w:rsid w:val="00DE2DE0"/>
    <w:rsid w:val="00DE4756"/>
    <w:rsid w:val="00DE4A19"/>
    <w:rsid w:val="00DE6264"/>
    <w:rsid w:val="00DE63F4"/>
    <w:rsid w:val="00DE6F2F"/>
    <w:rsid w:val="00DE7281"/>
    <w:rsid w:val="00DE7B65"/>
    <w:rsid w:val="00DF022C"/>
    <w:rsid w:val="00DF05D9"/>
    <w:rsid w:val="00DF0BC5"/>
    <w:rsid w:val="00DF14F4"/>
    <w:rsid w:val="00DF2702"/>
    <w:rsid w:val="00DF2EC2"/>
    <w:rsid w:val="00DF2F64"/>
    <w:rsid w:val="00DF3389"/>
    <w:rsid w:val="00DF3715"/>
    <w:rsid w:val="00DF3BF9"/>
    <w:rsid w:val="00DF4542"/>
    <w:rsid w:val="00DF4B03"/>
    <w:rsid w:val="00DF6216"/>
    <w:rsid w:val="00DF626D"/>
    <w:rsid w:val="00DF659F"/>
    <w:rsid w:val="00DF6D3E"/>
    <w:rsid w:val="00DF72A2"/>
    <w:rsid w:val="00DF7A52"/>
    <w:rsid w:val="00E00DBF"/>
    <w:rsid w:val="00E01744"/>
    <w:rsid w:val="00E01981"/>
    <w:rsid w:val="00E02778"/>
    <w:rsid w:val="00E03910"/>
    <w:rsid w:val="00E03DCF"/>
    <w:rsid w:val="00E04960"/>
    <w:rsid w:val="00E05106"/>
    <w:rsid w:val="00E052EB"/>
    <w:rsid w:val="00E064B7"/>
    <w:rsid w:val="00E07467"/>
    <w:rsid w:val="00E07BDC"/>
    <w:rsid w:val="00E10119"/>
    <w:rsid w:val="00E10CDA"/>
    <w:rsid w:val="00E12924"/>
    <w:rsid w:val="00E12DDC"/>
    <w:rsid w:val="00E13EB7"/>
    <w:rsid w:val="00E14021"/>
    <w:rsid w:val="00E157D8"/>
    <w:rsid w:val="00E16492"/>
    <w:rsid w:val="00E16904"/>
    <w:rsid w:val="00E178D7"/>
    <w:rsid w:val="00E203E1"/>
    <w:rsid w:val="00E20CE9"/>
    <w:rsid w:val="00E2192F"/>
    <w:rsid w:val="00E21B3C"/>
    <w:rsid w:val="00E21F00"/>
    <w:rsid w:val="00E227EF"/>
    <w:rsid w:val="00E228B8"/>
    <w:rsid w:val="00E23EE7"/>
    <w:rsid w:val="00E243DD"/>
    <w:rsid w:val="00E2458B"/>
    <w:rsid w:val="00E249D8"/>
    <w:rsid w:val="00E24BC1"/>
    <w:rsid w:val="00E25399"/>
    <w:rsid w:val="00E27AEB"/>
    <w:rsid w:val="00E27B35"/>
    <w:rsid w:val="00E27CA4"/>
    <w:rsid w:val="00E32743"/>
    <w:rsid w:val="00E32E67"/>
    <w:rsid w:val="00E33123"/>
    <w:rsid w:val="00E33B9B"/>
    <w:rsid w:val="00E33EA6"/>
    <w:rsid w:val="00E35D39"/>
    <w:rsid w:val="00E367A6"/>
    <w:rsid w:val="00E367B6"/>
    <w:rsid w:val="00E3683E"/>
    <w:rsid w:val="00E3685E"/>
    <w:rsid w:val="00E37108"/>
    <w:rsid w:val="00E37A0D"/>
    <w:rsid w:val="00E40054"/>
    <w:rsid w:val="00E41868"/>
    <w:rsid w:val="00E419A6"/>
    <w:rsid w:val="00E41BCD"/>
    <w:rsid w:val="00E428C3"/>
    <w:rsid w:val="00E42C06"/>
    <w:rsid w:val="00E44691"/>
    <w:rsid w:val="00E4473B"/>
    <w:rsid w:val="00E44A42"/>
    <w:rsid w:val="00E451B4"/>
    <w:rsid w:val="00E456D4"/>
    <w:rsid w:val="00E466B7"/>
    <w:rsid w:val="00E46F3F"/>
    <w:rsid w:val="00E47288"/>
    <w:rsid w:val="00E47564"/>
    <w:rsid w:val="00E5049B"/>
    <w:rsid w:val="00E50969"/>
    <w:rsid w:val="00E515ED"/>
    <w:rsid w:val="00E524FE"/>
    <w:rsid w:val="00E54759"/>
    <w:rsid w:val="00E54795"/>
    <w:rsid w:val="00E552A3"/>
    <w:rsid w:val="00E5593A"/>
    <w:rsid w:val="00E55FB6"/>
    <w:rsid w:val="00E577D9"/>
    <w:rsid w:val="00E602CC"/>
    <w:rsid w:val="00E607A2"/>
    <w:rsid w:val="00E6145F"/>
    <w:rsid w:val="00E615D7"/>
    <w:rsid w:val="00E63E18"/>
    <w:rsid w:val="00E647E3"/>
    <w:rsid w:val="00E64C52"/>
    <w:rsid w:val="00E65655"/>
    <w:rsid w:val="00E65B44"/>
    <w:rsid w:val="00E66610"/>
    <w:rsid w:val="00E66A5D"/>
    <w:rsid w:val="00E70A7E"/>
    <w:rsid w:val="00E716B9"/>
    <w:rsid w:val="00E72534"/>
    <w:rsid w:val="00E7286C"/>
    <w:rsid w:val="00E72BCB"/>
    <w:rsid w:val="00E72F19"/>
    <w:rsid w:val="00E73176"/>
    <w:rsid w:val="00E7324A"/>
    <w:rsid w:val="00E763A1"/>
    <w:rsid w:val="00E76C0A"/>
    <w:rsid w:val="00E76E47"/>
    <w:rsid w:val="00E772E7"/>
    <w:rsid w:val="00E77C5D"/>
    <w:rsid w:val="00E81A76"/>
    <w:rsid w:val="00E82583"/>
    <w:rsid w:val="00E83244"/>
    <w:rsid w:val="00E8388F"/>
    <w:rsid w:val="00E843B2"/>
    <w:rsid w:val="00E84984"/>
    <w:rsid w:val="00E86AEE"/>
    <w:rsid w:val="00E87D09"/>
    <w:rsid w:val="00E90015"/>
    <w:rsid w:val="00E903F9"/>
    <w:rsid w:val="00E91EB2"/>
    <w:rsid w:val="00E92417"/>
    <w:rsid w:val="00E92F99"/>
    <w:rsid w:val="00E95BE3"/>
    <w:rsid w:val="00E96ECD"/>
    <w:rsid w:val="00E9709E"/>
    <w:rsid w:val="00E97C45"/>
    <w:rsid w:val="00EA1829"/>
    <w:rsid w:val="00EA1A02"/>
    <w:rsid w:val="00EA1AA5"/>
    <w:rsid w:val="00EA370A"/>
    <w:rsid w:val="00EA453E"/>
    <w:rsid w:val="00EA4EC0"/>
    <w:rsid w:val="00EA4FD2"/>
    <w:rsid w:val="00EA58AD"/>
    <w:rsid w:val="00EA591D"/>
    <w:rsid w:val="00EA67CB"/>
    <w:rsid w:val="00EA68DB"/>
    <w:rsid w:val="00EA699D"/>
    <w:rsid w:val="00EA7A25"/>
    <w:rsid w:val="00EB097E"/>
    <w:rsid w:val="00EB28EE"/>
    <w:rsid w:val="00EB3053"/>
    <w:rsid w:val="00EB389D"/>
    <w:rsid w:val="00EB390B"/>
    <w:rsid w:val="00EB3960"/>
    <w:rsid w:val="00EB4099"/>
    <w:rsid w:val="00EB46FD"/>
    <w:rsid w:val="00EB4A01"/>
    <w:rsid w:val="00EB4B47"/>
    <w:rsid w:val="00EB4DEC"/>
    <w:rsid w:val="00EB5151"/>
    <w:rsid w:val="00EB5555"/>
    <w:rsid w:val="00EB557F"/>
    <w:rsid w:val="00EB605F"/>
    <w:rsid w:val="00EB6398"/>
    <w:rsid w:val="00EB6578"/>
    <w:rsid w:val="00EB6D61"/>
    <w:rsid w:val="00EB70F0"/>
    <w:rsid w:val="00EB713D"/>
    <w:rsid w:val="00EB73BD"/>
    <w:rsid w:val="00EB7A14"/>
    <w:rsid w:val="00EB7B2D"/>
    <w:rsid w:val="00EC1592"/>
    <w:rsid w:val="00EC2A4C"/>
    <w:rsid w:val="00EC2D28"/>
    <w:rsid w:val="00EC37B1"/>
    <w:rsid w:val="00EC4B69"/>
    <w:rsid w:val="00EC5C82"/>
    <w:rsid w:val="00EC60A1"/>
    <w:rsid w:val="00EC64C5"/>
    <w:rsid w:val="00EC7D2E"/>
    <w:rsid w:val="00ED1E3C"/>
    <w:rsid w:val="00ED28DB"/>
    <w:rsid w:val="00ED3E06"/>
    <w:rsid w:val="00ED45EC"/>
    <w:rsid w:val="00ED4849"/>
    <w:rsid w:val="00ED5D4F"/>
    <w:rsid w:val="00EE0020"/>
    <w:rsid w:val="00EE16BE"/>
    <w:rsid w:val="00EE2266"/>
    <w:rsid w:val="00EE2564"/>
    <w:rsid w:val="00EE269E"/>
    <w:rsid w:val="00EE3669"/>
    <w:rsid w:val="00EE3B0E"/>
    <w:rsid w:val="00EE59D8"/>
    <w:rsid w:val="00EE5F7D"/>
    <w:rsid w:val="00EE5FD2"/>
    <w:rsid w:val="00EE67ED"/>
    <w:rsid w:val="00EE74BF"/>
    <w:rsid w:val="00EF0746"/>
    <w:rsid w:val="00EF07DE"/>
    <w:rsid w:val="00EF0F9D"/>
    <w:rsid w:val="00EF136B"/>
    <w:rsid w:val="00EF1486"/>
    <w:rsid w:val="00EF171C"/>
    <w:rsid w:val="00EF1DC5"/>
    <w:rsid w:val="00EF23E8"/>
    <w:rsid w:val="00EF3B3E"/>
    <w:rsid w:val="00EF4534"/>
    <w:rsid w:val="00EF4B63"/>
    <w:rsid w:val="00EF5B41"/>
    <w:rsid w:val="00EF63FE"/>
    <w:rsid w:val="00EF653C"/>
    <w:rsid w:val="00F005A3"/>
    <w:rsid w:val="00F01B33"/>
    <w:rsid w:val="00F028BB"/>
    <w:rsid w:val="00F0325A"/>
    <w:rsid w:val="00F0369B"/>
    <w:rsid w:val="00F04096"/>
    <w:rsid w:val="00F04AAC"/>
    <w:rsid w:val="00F04CBC"/>
    <w:rsid w:val="00F04E26"/>
    <w:rsid w:val="00F10307"/>
    <w:rsid w:val="00F10D9E"/>
    <w:rsid w:val="00F11A27"/>
    <w:rsid w:val="00F11D7F"/>
    <w:rsid w:val="00F11FA0"/>
    <w:rsid w:val="00F12725"/>
    <w:rsid w:val="00F12AC4"/>
    <w:rsid w:val="00F12BD9"/>
    <w:rsid w:val="00F1309B"/>
    <w:rsid w:val="00F1318F"/>
    <w:rsid w:val="00F13453"/>
    <w:rsid w:val="00F13A12"/>
    <w:rsid w:val="00F13FF4"/>
    <w:rsid w:val="00F148AB"/>
    <w:rsid w:val="00F151D0"/>
    <w:rsid w:val="00F1523B"/>
    <w:rsid w:val="00F15863"/>
    <w:rsid w:val="00F16A83"/>
    <w:rsid w:val="00F17356"/>
    <w:rsid w:val="00F175DB"/>
    <w:rsid w:val="00F178B4"/>
    <w:rsid w:val="00F17907"/>
    <w:rsid w:val="00F17D87"/>
    <w:rsid w:val="00F20457"/>
    <w:rsid w:val="00F204CD"/>
    <w:rsid w:val="00F20E9D"/>
    <w:rsid w:val="00F22E44"/>
    <w:rsid w:val="00F25727"/>
    <w:rsid w:val="00F25F4B"/>
    <w:rsid w:val="00F26B93"/>
    <w:rsid w:val="00F30272"/>
    <w:rsid w:val="00F31FE3"/>
    <w:rsid w:val="00F324AF"/>
    <w:rsid w:val="00F32D78"/>
    <w:rsid w:val="00F332B1"/>
    <w:rsid w:val="00F33742"/>
    <w:rsid w:val="00F3416D"/>
    <w:rsid w:val="00F35920"/>
    <w:rsid w:val="00F35F8D"/>
    <w:rsid w:val="00F377CF"/>
    <w:rsid w:val="00F423E7"/>
    <w:rsid w:val="00F435DD"/>
    <w:rsid w:val="00F4443F"/>
    <w:rsid w:val="00F461D4"/>
    <w:rsid w:val="00F46F02"/>
    <w:rsid w:val="00F471CF"/>
    <w:rsid w:val="00F50D7E"/>
    <w:rsid w:val="00F51412"/>
    <w:rsid w:val="00F516C9"/>
    <w:rsid w:val="00F51C6D"/>
    <w:rsid w:val="00F51CB8"/>
    <w:rsid w:val="00F51D7E"/>
    <w:rsid w:val="00F51FBD"/>
    <w:rsid w:val="00F5238C"/>
    <w:rsid w:val="00F523C6"/>
    <w:rsid w:val="00F53FE9"/>
    <w:rsid w:val="00F541A1"/>
    <w:rsid w:val="00F54DF4"/>
    <w:rsid w:val="00F550DD"/>
    <w:rsid w:val="00F55B34"/>
    <w:rsid w:val="00F571F6"/>
    <w:rsid w:val="00F6008E"/>
    <w:rsid w:val="00F6040D"/>
    <w:rsid w:val="00F634DA"/>
    <w:rsid w:val="00F6358F"/>
    <w:rsid w:val="00F64212"/>
    <w:rsid w:val="00F66E62"/>
    <w:rsid w:val="00F704D3"/>
    <w:rsid w:val="00F70663"/>
    <w:rsid w:val="00F70C6A"/>
    <w:rsid w:val="00F71B2C"/>
    <w:rsid w:val="00F72565"/>
    <w:rsid w:val="00F730AF"/>
    <w:rsid w:val="00F73F1A"/>
    <w:rsid w:val="00F74DE0"/>
    <w:rsid w:val="00F75087"/>
    <w:rsid w:val="00F75FAA"/>
    <w:rsid w:val="00F7673A"/>
    <w:rsid w:val="00F76791"/>
    <w:rsid w:val="00F7726D"/>
    <w:rsid w:val="00F77498"/>
    <w:rsid w:val="00F77890"/>
    <w:rsid w:val="00F8038F"/>
    <w:rsid w:val="00F81055"/>
    <w:rsid w:val="00F81D75"/>
    <w:rsid w:val="00F823B3"/>
    <w:rsid w:val="00F83CA6"/>
    <w:rsid w:val="00F8450B"/>
    <w:rsid w:val="00F85CF3"/>
    <w:rsid w:val="00F86584"/>
    <w:rsid w:val="00F869C1"/>
    <w:rsid w:val="00F86D4E"/>
    <w:rsid w:val="00F879BE"/>
    <w:rsid w:val="00F9062D"/>
    <w:rsid w:val="00F91419"/>
    <w:rsid w:val="00F91A65"/>
    <w:rsid w:val="00F91D95"/>
    <w:rsid w:val="00F9248A"/>
    <w:rsid w:val="00F931BB"/>
    <w:rsid w:val="00F967CF"/>
    <w:rsid w:val="00F96894"/>
    <w:rsid w:val="00F96CCC"/>
    <w:rsid w:val="00F96D6D"/>
    <w:rsid w:val="00F97BA7"/>
    <w:rsid w:val="00F97D7D"/>
    <w:rsid w:val="00F97DB5"/>
    <w:rsid w:val="00FA10FF"/>
    <w:rsid w:val="00FA158B"/>
    <w:rsid w:val="00FA34F5"/>
    <w:rsid w:val="00FA370C"/>
    <w:rsid w:val="00FA41F2"/>
    <w:rsid w:val="00FA492B"/>
    <w:rsid w:val="00FA5F01"/>
    <w:rsid w:val="00FA6F80"/>
    <w:rsid w:val="00FB0251"/>
    <w:rsid w:val="00FB051E"/>
    <w:rsid w:val="00FB11A3"/>
    <w:rsid w:val="00FB131F"/>
    <w:rsid w:val="00FB1B4C"/>
    <w:rsid w:val="00FB201F"/>
    <w:rsid w:val="00FB3A27"/>
    <w:rsid w:val="00FB3EE8"/>
    <w:rsid w:val="00FB419D"/>
    <w:rsid w:val="00FB5770"/>
    <w:rsid w:val="00FB5F0F"/>
    <w:rsid w:val="00FB62CF"/>
    <w:rsid w:val="00FB7E12"/>
    <w:rsid w:val="00FC0551"/>
    <w:rsid w:val="00FC27BF"/>
    <w:rsid w:val="00FC2853"/>
    <w:rsid w:val="00FC32E3"/>
    <w:rsid w:val="00FC3E17"/>
    <w:rsid w:val="00FC40AE"/>
    <w:rsid w:val="00FC534C"/>
    <w:rsid w:val="00FC56D5"/>
    <w:rsid w:val="00FC6988"/>
    <w:rsid w:val="00FC6A8F"/>
    <w:rsid w:val="00FC6FED"/>
    <w:rsid w:val="00FC7369"/>
    <w:rsid w:val="00FC78CD"/>
    <w:rsid w:val="00FC7998"/>
    <w:rsid w:val="00FD0831"/>
    <w:rsid w:val="00FD08EF"/>
    <w:rsid w:val="00FD1640"/>
    <w:rsid w:val="00FD58B0"/>
    <w:rsid w:val="00FD6A94"/>
    <w:rsid w:val="00FD761E"/>
    <w:rsid w:val="00FD76F2"/>
    <w:rsid w:val="00FE0B16"/>
    <w:rsid w:val="00FE1814"/>
    <w:rsid w:val="00FE1B02"/>
    <w:rsid w:val="00FE23F7"/>
    <w:rsid w:val="00FE2F1E"/>
    <w:rsid w:val="00FE3D58"/>
    <w:rsid w:val="00FE433C"/>
    <w:rsid w:val="00FE5A9B"/>
    <w:rsid w:val="00FE5D23"/>
    <w:rsid w:val="00FE646B"/>
    <w:rsid w:val="00FE64FB"/>
    <w:rsid w:val="00FE654C"/>
    <w:rsid w:val="00FE7BD9"/>
    <w:rsid w:val="00FE7C38"/>
    <w:rsid w:val="00FF1294"/>
    <w:rsid w:val="00FF1669"/>
    <w:rsid w:val="00FF1DB9"/>
    <w:rsid w:val="00FF2178"/>
    <w:rsid w:val="00FF254D"/>
    <w:rsid w:val="00FF35E1"/>
    <w:rsid w:val="00FF56A3"/>
    <w:rsid w:val="00FF5E8D"/>
    <w:rsid w:val="00FF6019"/>
    <w:rsid w:val="00FF7879"/>
    <w:rsid w:val="01207B0A"/>
    <w:rsid w:val="01350AD8"/>
    <w:rsid w:val="0224187C"/>
    <w:rsid w:val="02641C78"/>
    <w:rsid w:val="02A263FA"/>
    <w:rsid w:val="02E63FC8"/>
    <w:rsid w:val="02FE20CD"/>
    <w:rsid w:val="032E13C0"/>
    <w:rsid w:val="035B12CD"/>
    <w:rsid w:val="036224EC"/>
    <w:rsid w:val="03863E70"/>
    <w:rsid w:val="039300B7"/>
    <w:rsid w:val="03942A31"/>
    <w:rsid w:val="03B7227C"/>
    <w:rsid w:val="03E47515"/>
    <w:rsid w:val="04CA7DD8"/>
    <w:rsid w:val="04FB2729"/>
    <w:rsid w:val="05080FE1"/>
    <w:rsid w:val="0540716F"/>
    <w:rsid w:val="05483AD3"/>
    <w:rsid w:val="056621AB"/>
    <w:rsid w:val="05C9117D"/>
    <w:rsid w:val="05DF19A3"/>
    <w:rsid w:val="05FC1C36"/>
    <w:rsid w:val="06197A31"/>
    <w:rsid w:val="0621237C"/>
    <w:rsid w:val="063302DF"/>
    <w:rsid w:val="06640499"/>
    <w:rsid w:val="06A05249"/>
    <w:rsid w:val="06A90554"/>
    <w:rsid w:val="06B60387"/>
    <w:rsid w:val="06C2149A"/>
    <w:rsid w:val="06FF7E69"/>
    <w:rsid w:val="076C041F"/>
    <w:rsid w:val="077A743F"/>
    <w:rsid w:val="07B822F9"/>
    <w:rsid w:val="07BC60B3"/>
    <w:rsid w:val="07C82CA9"/>
    <w:rsid w:val="085422C2"/>
    <w:rsid w:val="085E716A"/>
    <w:rsid w:val="087D7F38"/>
    <w:rsid w:val="08B02CC7"/>
    <w:rsid w:val="08BA6A96"/>
    <w:rsid w:val="091066B6"/>
    <w:rsid w:val="094C42CE"/>
    <w:rsid w:val="097BB0B3"/>
    <w:rsid w:val="09954E0D"/>
    <w:rsid w:val="09EA1488"/>
    <w:rsid w:val="0A206DCD"/>
    <w:rsid w:val="0A273011"/>
    <w:rsid w:val="0A8E7D96"/>
    <w:rsid w:val="0ABB6AF5"/>
    <w:rsid w:val="0AD20FB6"/>
    <w:rsid w:val="0AD6469B"/>
    <w:rsid w:val="0AFE6029"/>
    <w:rsid w:val="0AFFBD21"/>
    <w:rsid w:val="0B365CE9"/>
    <w:rsid w:val="0B6A90F9"/>
    <w:rsid w:val="0B9AC566"/>
    <w:rsid w:val="0BBA54EB"/>
    <w:rsid w:val="0BC26B38"/>
    <w:rsid w:val="0BE64700"/>
    <w:rsid w:val="0BFA23A3"/>
    <w:rsid w:val="0C3E353A"/>
    <w:rsid w:val="0C71390F"/>
    <w:rsid w:val="0C9615C8"/>
    <w:rsid w:val="0C9C64B3"/>
    <w:rsid w:val="0CAF7807"/>
    <w:rsid w:val="0D1A20AC"/>
    <w:rsid w:val="0D40503E"/>
    <w:rsid w:val="0D8853B5"/>
    <w:rsid w:val="0DBC6E0C"/>
    <w:rsid w:val="0DFC0475"/>
    <w:rsid w:val="0E24287C"/>
    <w:rsid w:val="0E252179"/>
    <w:rsid w:val="0E7FD9A9"/>
    <w:rsid w:val="0E94046F"/>
    <w:rsid w:val="0EAE0E4B"/>
    <w:rsid w:val="0ECA37AB"/>
    <w:rsid w:val="0F0A1DF9"/>
    <w:rsid w:val="0F1F1264"/>
    <w:rsid w:val="0F596798"/>
    <w:rsid w:val="0F6A2898"/>
    <w:rsid w:val="0F9243BD"/>
    <w:rsid w:val="0FD6F813"/>
    <w:rsid w:val="0FEA7F5C"/>
    <w:rsid w:val="0FEEBD91"/>
    <w:rsid w:val="0FF414C8"/>
    <w:rsid w:val="0FF70817"/>
    <w:rsid w:val="104D56D4"/>
    <w:rsid w:val="106A73DE"/>
    <w:rsid w:val="1096176D"/>
    <w:rsid w:val="11554AFB"/>
    <w:rsid w:val="11712F11"/>
    <w:rsid w:val="12072620"/>
    <w:rsid w:val="120B3EBE"/>
    <w:rsid w:val="12647A72"/>
    <w:rsid w:val="127B4FB5"/>
    <w:rsid w:val="128B53A5"/>
    <w:rsid w:val="12D61B20"/>
    <w:rsid w:val="12E0359D"/>
    <w:rsid w:val="13345697"/>
    <w:rsid w:val="13426006"/>
    <w:rsid w:val="135B7C0A"/>
    <w:rsid w:val="13666197"/>
    <w:rsid w:val="13916645"/>
    <w:rsid w:val="13E1779B"/>
    <w:rsid w:val="13FE55BA"/>
    <w:rsid w:val="14123C2A"/>
    <w:rsid w:val="145F6743"/>
    <w:rsid w:val="14987EE4"/>
    <w:rsid w:val="15007F26"/>
    <w:rsid w:val="15432418"/>
    <w:rsid w:val="154E46D4"/>
    <w:rsid w:val="15724489"/>
    <w:rsid w:val="15891CCA"/>
    <w:rsid w:val="15A24B3A"/>
    <w:rsid w:val="15B075F5"/>
    <w:rsid w:val="15C745A0"/>
    <w:rsid w:val="15DD58DE"/>
    <w:rsid w:val="15EFB8E4"/>
    <w:rsid w:val="15EFDFF6"/>
    <w:rsid w:val="1627221C"/>
    <w:rsid w:val="16526560"/>
    <w:rsid w:val="165B65E9"/>
    <w:rsid w:val="167F906F"/>
    <w:rsid w:val="168D2708"/>
    <w:rsid w:val="16D75E79"/>
    <w:rsid w:val="16DA0432"/>
    <w:rsid w:val="16EF3DAF"/>
    <w:rsid w:val="16FEBD42"/>
    <w:rsid w:val="16FF34E8"/>
    <w:rsid w:val="176F3141"/>
    <w:rsid w:val="17A96653"/>
    <w:rsid w:val="17CF4487"/>
    <w:rsid w:val="17D64F6F"/>
    <w:rsid w:val="17EBA315"/>
    <w:rsid w:val="17F71D97"/>
    <w:rsid w:val="17F7346E"/>
    <w:rsid w:val="17FE7F41"/>
    <w:rsid w:val="17FF2A7F"/>
    <w:rsid w:val="17FF9050"/>
    <w:rsid w:val="18860743"/>
    <w:rsid w:val="18B52619"/>
    <w:rsid w:val="18DAC3D3"/>
    <w:rsid w:val="18F312F9"/>
    <w:rsid w:val="19143CAF"/>
    <w:rsid w:val="19213EB6"/>
    <w:rsid w:val="193D1B0E"/>
    <w:rsid w:val="19716137"/>
    <w:rsid w:val="19727FD4"/>
    <w:rsid w:val="19866520"/>
    <w:rsid w:val="19FCB987"/>
    <w:rsid w:val="1A725422"/>
    <w:rsid w:val="1A895970"/>
    <w:rsid w:val="1A8E1B30"/>
    <w:rsid w:val="1ABC044C"/>
    <w:rsid w:val="1ABF41B4"/>
    <w:rsid w:val="1B272C3D"/>
    <w:rsid w:val="1B77497B"/>
    <w:rsid w:val="1B9804DA"/>
    <w:rsid w:val="1BA50EE0"/>
    <w:rsid w:val="1BC43CCC"/>
    <w:rsid w:val="1BCCA5A7"/>
    <w:rsid w:val="1BD54BDD"/>
    <w:rsid w:val="1BF86013"/>
    <w:rsid w:val="1BFBD76A"/>
    <w:rsid w:val="1C024584"/>
    <w:rsid w:val="1C21116F"/>
    <w:rsid w:val="1C28113A"/>
    <w:rsid w:val="1CEC2B3E"/>
    <w:rsid w:val="1D181B85"/>
    <w:rsid w:val="1D1E3640"/>
    <w:rsid w:val="1D6F597D"/>
    <w:rsid w:val="1D76522A"/>
    <w:rsid w:val="1DB25B36"/>
    <w:rsid w:val="1DBE44DB"/>
    <w:rsid w:val="1DD737EE"/>
    <w:rsid w:val="1DDFF798"/>
    <w:rsid w:val="1DFFFB67"/>
    <w:rsid w:val="1E7B6870"/>
    <w:rsid w:val="1E827BFE"/>
    <w:rsid w:val="1E845724"/>
    <w:rsid w:val="1EAF7313"/>
    <w:rsid w:val="1EBFAC3C"/>
    <w:rsid w:val="1EE166AD"/>
    <w:rsid w:val="1EEB6F0B"/>
    <w:rsid w:val="1EF9CFD5"/>
    <w:rsid w:val="1F0B3750"/>
    <w:rsid w:val="1F185E6D"/>
    <w:rsid w:val="1F6FFEE0"/>
    <w:rsid w:val="1F7B5235"/>
    <w:rsid w:val="1F7FDB85"/>
    <w:rsid w:val="1F8C3FD1"/>
    <w:rsid w:val="1F8F4381"/>
    <w:rsid w:val="1F9C50FF"/>
    <w:rsid w:val="1FAE8393"/>
    <w:rsid w:val="1FB8CCEE"/>
    <w:rsid w:val="1FDDAA95"/>
    <w:rsid w:val="1FEF002A"/>
    <w:rsid w:val="1FEF1829"/>
    <w:rsid w:val="1FF72413"/>
    <w:rsid w:val="1FF7778E"/>
    <w:rsid w:val="1FFA4B4C"/>
    <w:rsid w:val="1FFEB58A"/>
    <w:rsid w:val="1FFF9E0D"/>
    <w:rsid w:val="1FFFEAED"/>
    <w:rsid w:val="20511636"/>
    <w:rsid w:val="206D7CFB"/>
    <w:rsid w:val="20D55DDA"/>
    <w:rsid w:val="211A2C97"/>
    <w:rsid w:val="217F4A6A"/>
    <w:rsid w:val="219519F6"/>
    <w:rsid w:val="21E212EC"/>
    <w:rsid w:val="223F57F7"/>
    <w:rsid w:val="229A0651"/>
    <w:rsid w:val="22EA5D72"/>
    <w:rsid w:val="22F015DA"/>
    <w:rsid w:val="231921B3"/>
    <w:rsid w:val="23546916"/>
    <w:rsid w:val="23733FB9"/>
    <w:rsid w:val="23734322"/>
    <w:rsid w:val="23AC3027"/>
    <w:rsid w:val="23D6FE1C"/>
    <w:rsid w:val="23EEFDC3"/>
    <w:rsid w:val="240B30AC"/>
    <w:rsid w:val="24193711"/>
    <w:rsid w:val="257302A1"/>
    <w:rsid w:val="25A42208"/>
    <w:rsid w:val="25BE53AE"/>
    <w:rsid w:val="25C46DD3"/>
    <w:rsid w:val="25F71AE3"/>
    <w:rsid w:val="25F82554"/>
    <w:rsid w:val="263A0DBE"/>
    <w:rsid w:val="264B6B28"/>
    <w:rsid w:val="265460E8"/>
    <w:rsid w:val="2661634B"/>
    <w:rsid w:val="268A74F7"/>
    <w:rsid w:val="268F7232"/>
    <w:rsid w:val="26A74FCB"/>
    <w:rsid w:val="26D06B24"/>
    <w:rsid w:val="26F42254"/>
    <w:rsid w:val="27373B49"/>
    <w:rsid w:val="27481489"/>
    <w:rsid w:val="27532158"/>
    <w:rsid w:val="279F298E"/>
    <w:rsid w:val="27AE736E"/>
    <w:rsid w:val="27B64980"/>
    <w:rsid w:val="27B9852C"/>
    <w:rsid w:val="27CB3B4C"/>
    <w:rsid w:val="27D86AE1"/>
    <w:rsid w:val="27DD0C72"/>
    <w:rsid w:val="27F1579C"/>
    <w:rsid w:val="27FA0805"/>
    <w:rsid w:val="28213FE4"/>
    <w:rsid w:val="286F4FF3"/>
    <w:rsid w:val="28DF17A9"/>
    <w:rsid w:val="28F33FB6"/>
    <w:rsid w:val="293146FB"/>
    <w:rsid w:val="297A7E50"/>
    <w:rsid w:val="29A30D68"/>
    <w:rsid w:val="29E21551"/>
    <w:rsid w:val="2A12304A"/>
    <w:rsid w:val="2A2878AC"/>
    <w:rsid w:val="2A887940"/>
    <w:rsid w:val="2AAA0585"/>
    <w:rsid w:val="2AAD3775"/>
    <w:rsid w:val="2ACB6489"/>
    <w:rsid w:val="2AEFDEB2"/>
    <w:rsid w:val="2AFAB483"/>
    <w:rsid w:val="2AFB4FC0"/>
    <w:rsid w:val="2B0E4D79"/>
    <w:rsid w:val="2B2E75B1"/>
    <w:rsid w:val="2B6D4D59"/>
    <w:rsid w:val="2B9314C3"/>
    <w:rsid w:val="2BED3C76"/>
    <w:rsid w:val="2BFF288E"/>
    <w:rsid w:val="2BFF7349"/>
    <w:rsid w:val="2BFFC131"/>
    <w:rsid w:val="2C043A01"/>
    <w:rsid w:val="2C1D4AC2"/>
    <w:rsid w:val="2C917340"/>
    <w:rsid w:val="2CBA67B5"/>
    <w:rsid w:val="2CBE14A4"/>
    <w:rsid w:val="2CC670C0"/>
    <w:rsid w:val="2CC7462C"/>
    <w:rsid w:val="2D122B7B"/>
    <w:rsid w:val="2D25CA57"/>
    <w:rsid w:val="2D743AE0"/>
    <w:rsid w:val="2D7CEE1E"/>
    <w:rsid w:val="2D7F16C9"/>
    <w:rsid w:val="2D856A36"/>
    <w:rsid w:val="2D9F3506"/>
    <w:rsid w:val="2DB45F04"/>
    <w:rsid w:val="2DB642AC"/>
    <w:rsid w:val="2DB74512"/>
    <w:rsid w:val="2DE33AD9"/>
    <w:rsid w:val="2DFB62C6"/>
    <w:rsid w:val="2DFF0EE2"/>
    <w:rsid w:val="2E0A1204"/>
    <w:rsid w:val="2E0B6A2C"/>
    <w:rsid w:val="2E3EE4E5"/>
    <w:rsid w:val="2E3EFDC3"/>
    <w:rsid w:val="2E8A6413"/>
    <w:rsid w:val="2EB23BE8"/>
    <w:rsid w:val="2EE31FF3"/>
    <w:rsid w:val="2EF34B44"/>
    <w:rsid w:val="2F1300A7"/>
    <w:rsid w:val="2F231D35"/>
    <w:rsid w:val="2F3D992B"/>
    <w:rsid w:val="2F4F1437"/>
    <w:rsid w:val="2F5E4B4E"/>
    <w:rsid w:val="2F7F116D"/>
    <w:rsid w:val="2F886979"/>
    <w:rsid w:val="2F8A06C1"/>
    <w:rsid w:val="2F9FEFE6"/>
    <w:rsid w:val="2FAD1FC6"/>
    <w:rsid w:val="2FB77DE1"/>
    <w:rsid w:val="2FBB4E44"/>
    <w:rsid w:val="2FBD2FBE"/>
    <w:rsid w:val="2FD31963"/>
    <w:rsid w:val="2FDECD47"/>
    <w:rsid w:val="2FE2309B"/>
    <w:rsid w:val="2FEDFE57"/>
    <w:rsid w:val="2FF757B0"/>
    <w:rsid w:val="2FF7C864"/>
    <w:rsid w:val="2FF86237"/>
    <w:rsid w:val="2FFC7E07"/>
    <w:rsid w:val="2FFF408D"/>
    <w:rsid w:val="2FFF5753"/>
    <w:rsid w:val="30064402"/>
    <w:rsid w:val="301F511B"/>
    <w:rsid w:val="3058256D"/>
    <w:rsid w:val="308B5E99"/>
    <w:rsid w:val="309D4845"/>
    <w:rsid w:val="30AC204C"/>
    <w:rsid w:val="30AD14FA"/>
    <w:rsid w:val="30BC6E9F"/>
    <w:rsid w:val="30DE409F"/>
    <w:rsid w:val="30F717EE"/>
    <w:rsid w:val="313308E4"/>
    <w:rsid w:val="317D7AB7"/>
    <w:rsid w:val="31B1462B"/>
    <w:rsid w:val="31B859B9"/>
    <w:rsid w:val="31EB0AB5"/>
    <w:rsid w:val="32092A24"/>
    <w:rsid w:val="320F4EAD"/>
    <w:rsid w:val="322850BF"/>
    <w:rsid w:val="325F36AE"/>
    <w:rsid w:val="329916D6"/>
    <w:rsid w:val="32B21003"/>
    <w:rsid w:val="32E7E708"/>
    <w:rsid w:val="32F3657D"/>
    <w:rsid w:val="33135B31"/>
    <w:rsid w:val="33BF28C3"/>
    <w:rsid w:val="33C66680"/>
    <w:rsid w:val="33DEC91C"/>
    <w:rsid w:val="33DF30C9"/>
    <w:rsid w:val="33F6C9F5"/>
    <w:rsid w:val="33F702EF"/>
    <w:rsid w:val="33FB8719"/>
    <w:rsid w:val="33FD42A2"/>
    <w:rsid w:val="342866FA"/>
    <w:rsid w:val="34316ACF"/>
    <w:rsid w:val="343230D5"/>
    <w:rsid w:val="344C063B"/>
    <w:rsid w:val="346A6D13"/>
    <w:rsid w:val="34871673"/>
    <w:rsid w:val="34873421"/>
    <w:rsid w:val="34A55D54"/>
    <w:rsid w:val="34FBD52B"/>
    <w:rsid w:val="34FF745B"/>
    <w:rsid w:val="3521A35F"/>
    <w:rsid w:val="356E45E1"/>
    <w:rsid w:val="357120EC"/>
    <w:rsid w:val="35CC75F2"/>
    <w:rsid w:val="35F2AAD7"/>
    <w:rsid w:val="35F68BFB"/>
    <w:rsid w:val="35FFAC21"/>
    <w:rsid w:val="36045EA5"/>
    <w:rsid w:val="36750E63"/>
    <w:rsid w:val="367FF8A1"/>
    <w:rsid w:val="36820344"/>
    <w:rsid w:val="36B5EEB0"/>
    <w:rsid w:val="36BF02D3"/>
    <w:rsid w:val="36CC030D"/>
    <w:rsid w:val="36DF231F"/>
    <w:rsid w:val="36FDBAC5"/>
    <w:rsid w:val="36FFE0AB"/>
    <w:rsid w:val="370E1BD7"/>
    <w:rsid w:val="370E607B"/>
    <w:rsid w:val="370F677A"/>
    <w:rsid w:val="374DEEFF"/>
    <w:rsid w:val="37503F9E"/>
    <w:rsid w:val="375E79D1"/>
    <w:rsid w:val="375F43C4"/>
    <w:rsid w:val="376C76D4"/>
    <w:rsid w:val="376F3879"/>
    <w:rsid w:val="37731DB3"/>
    <w:rsid w:val="37747B2B"/>
    <w:rsid w:val="379063D1"/>
    <w:rsid w:val="37BFBCC8"/>
    <w:rsid w:val="37CC5BE8"/>
    <w:rsid w:val="37DF724E"/>
    <w:rsid w:val="37E71D6B"/>
    <w:rsid w:val="37F7F3C8"/>
    <w:rsid w:val="37FB2842"/>
    <w:rsid w:val="37FBF3F3"/>
    <w:rsid w:val="37FBF958"/>
    <w:rsid w:val="37FC7580"/>
    <w:rsid w:val="37FD4B3A"/>
    <w:rsid w:val="37FFECC6"/>
    <w:rsid w:val="382A0958"/>
    <w:rsid w:val="3831698F"/>
    <w:rsid w:val="38746732"/>
    <w:rsid w:val="38BC1380"/>
    <w:rsid w:val="38D7F381"/>
    <w:rsid w:val="38D84E4F"/>
    <w:rsid w:val="38E4CD20"/>
    <w:rsid w:val="38FBA876"/>
    <w:rsid w:val="3957A2FD"/>
    <w:rsid w:val="39678DF7"/>
    <w:rsid w:val="396FD28E"/>
    <w:rsid w:val="398EA309"/>
    <w:rsid w:val="399E6112"/>
    <w:rsid w:val="39A113AE"/>
    <w:rsid w:val="39B80C1C"/>
    <w:rsid w:val="39D3E7A1"/>
    <w:rsid w:val="39DDEC04"/>
    <w:rsid w:val="39F81811"/>
    <w:rsid w:val="3A1D5DFA"/>
    <w:rsid w:val="3A2155F3"/>
    <w:rsid w:val="3A3BE337"/>
    <w:rsid w:val="3A6AE177"/>
    <w:rsid w:val="3ADF2541"/>
    <w:rsid w:val="3AEA4709"/>
    <w:rsid w:val="3AFD122C"/>
    <w:rsid w:val="3AFF6B1A"/>
    <w:rsid w:val="3B251BE5"/>
    <w:rsid w:val="3B55589E"/>
    <w:rsid w:val="3B579BDA"/>
    <w:rsid w:val="3B5B5607"/>
    <w:rsid w:val="3B5EF361"/>
    <w:rsid w:val="3B733853"/>
    <w:rsid w:val="3BBBC800"/>
    <w:rsid w:val="3BBF94D4"/>
    <w:rsid w:val="3BBFA3CB"/>
    <w:rsid w:val="3BC5B307"/>
    <w:rsid w:val="3BD69188"/>
    <w:rsid w:val="3BE43358"/>
    <w:rsid w:val="3BE7116F"/>
    <w:rsid w:val="3BE7A5BA"/>
    <w:rsid w:val="3BE98208"/>
    <w:rsid w:val="3BEBA11F"/>
    <w:rsid w:val="3BEF4413"/>
    <w:rsid w:val="3BEF47B5"/>
    <w:rsid w:val="3BF9FD65"/>
    <w:rsid w:val="3BFDB00F"/>
    <w:rsid w:val="3BFF8068"/>
    <w:rsid w:val="3C19096B"/>
    <w:rsid w:val="3C3EA7DF"/>
    <w:rsid w:val="3C7F85F2"/>
    <w:rsid w:val="3C9F91C2"/>
    <w:rsid w:val="3CBC20D5"/>
    <w:rsid w:val="3CC52D38"/>
    <w:rsid w:val="3CC80A7A"/>
    <w:rsid w:val="3CD56758"/>
    <w:rsid w:val="3CF5BFB0"/>
    <w:rsid w:val="3CF950D8"/>
    <w:rsid w:val="3CFAB437"/>
    <w:rsid w:val="3CFD6F27"/>
    <w:rsid w:val="3CFFFA2E"/>
    <w:rsid w:val="3D3FAE72"/>
    <w:rsid w:val="3D495273"/>
    <w:rsid w:val="3D581DFE"/>
    <w:rsid w:val="3D76BFFA"/>
    <w:rsid w:val="3D9ED538"/>
    <w:rsid w:val="3D9F6D12"/>
    <w:rsid w:val="3DA01B6D"/>
    <w:rsid w:val="3DAE65C1"/>
    <w:rsid w:val="3DBB1140"/>
    <w:rsid w:val="3DBF9607"/>
    <w:rsid w:val="3DC168F9"/>
    <w:rsid w:val="3DC4FC4D"/>
    <w:rsid w:val="3DD11BB1"/>
    <w:rsid w:val="3DD34C16"/>
    <w:rsid w:val="3DD77093"/>
    <w:rsid w:val="3DE9394A"/>
    <w:rsid w:val="3DEE9C6B"/>
    <w:rsid w:val="3DF34F68"/>
    <w:rsid w:val="3DF5C21D"/>
    <w:rsid w:val="3DF65F15"/>
    <w:rsid w:val="3DFA1C56"/>
    <w:rsid w:val="3DFA2DC7"/>
    <w:rsid w:val="3DFE7A98"/>
    <w:rsid w:val="3DFF7443"/>
    <w:rsid w:val="3E5841A9"/>
    <w:rsid w:val="3E5BA427"/>
    <w:rsid w:val="3E7A1B38"/>
    <w:rsid w:val="3E7B44AE"/>
    <w:rsid w:val="3E7C38CA"/>
    <w:rsid w:val="3E94330A"/>
    <w:rsid w:val="3EB23457"/>
    <w:rsid w:val="3EC9255D"/>
    <w:rsid w:val="3ECA0ADA"/>
    <w:rsid w:val="3EDC25BB"/>
    <w:rsid w:val="3EDCB62D"/>
    <w:rsid w:val="3EE13594"/>
    <w:rsid w:val="3EEEAC2F"/>
    <w:rsid w:val="3EEED971"/>
    <w:rsid w:val="3EEF2E79"/>
    <w:rsid w:val="3EF57651"/>
    <w:rsid w:val="3F2E4B07"/>
    <w:rsid w:val="3F301F23"/>
    <w:rsid w:val="3F337FF6"/>
    <w:rsid w:val="3F39DFBE"/>
    <w:rsid w:val="3F3ADF03"/>
    <w:rsid w:val="3F3B2D29"/>
    <w:rsid w:val="3F3D18A3"/>
    <w:rsid w:val="3F47FD58"/>
    <w:rsid w:val="3F5B54FF"/>
    <w:rsid w:val="3F5F1441"/>
    <w:rsid w:val="3F61E297"/>
    <w:rsid w:val="3F77FCF3"/>
    <w:rsid w:val="3F7B5D7F"/>
    <w:rsid w:val="3F7E9165"/>
    <w:rsid w:val="3F7F4AAE"/>
    <w:rsid w:val="3F7FA106"/>
    <w:rsid w:val="3F7FEDC0"/>
    <w:rsid w:val="3F9644C5"/>
    <w:rsid w:val="3F99170E"/>
    <w:rsid w:val="3F99A42A"/>
    <w:rsid w:val="3F9EA036"/>
    <w:rsid w:val="3F9FB20F"/>
    <w:rsid w:val="3FA17D0A"/>
    <w:rsid w:val="3FB32B6E"/>
    <w:rsid w:val="3FB9B0F7"/>
    <w:rsid w:val="3FB9E5E6"/>
    <w:rsid w:val="3FBA8D12"/>
    <w:rsid w:val="3FBBAF88"/>
    <w:rsid w:val="3FBFEF60"/>
    <w:rsid w:val="3FC35E1B"/>
    <w:rsid w:val="3FC7F5AA"/>
    <w:rsid w:val="3FCF7770"/>
    <w:rsid w:val="3FCFFAB2"/>
    <w:rsid w:val="3FD0A6C7"/>
    <w:rsid w:val="3FD3142C"/>
    <w:rsid w:val="3FD50C4A"/>
    <w:rsid w:val="3FD74A3C"/>
    <w:rsid w:val="3FD7B447"/>
    <w:rsid w:val="3FDB2421"/>
    <w:rsid w:val="3FDD2DA4"/>
    <w:rsid w:val="3FE585F9"/>
    <w:rsid w:val="3FE7BAF7"/>
    <w:rsid w:val="3FE81A7B"/>
    <w:rsid w:val="3FE8201D"/>
    <w:rsid w:val="3FEDBAC3"/>
    <w:rsid w:val="3FF3A414"/>
    <w:rsid w:val="3FF4FFA8"/>
    <w:rsid w:val="3FF70F62"/>
    <w:rsid w:val="3FF7D463"/>
    <w:rsid w:val="3FF96654"/>
    <w:rsid w:val="3FFB714E"/>
    <w:rsid w:val="3FFBFD73"/>
    <w:rsid w:val="3FFC6736"/>
    <w:rsid w:val="3FFD296D"/>
    <w:rsid w:val="3FFD3838"/>
    <w:rsid w:val="3FFEE7D0"/>
    <w:rsid w:val="3FFF2DCC"/>
    <w:rsid w:val="3FFF691F"/>
    <w:rsid w:val="3FFF713F"/>
    <w:rsid w:val="3FFFFD2E"/>
    <w:rsid w:val="400D44B9"/>
    <w:rsid w:val="403D5BF0"/>
    <w:rsid w:val="40664832"/>
    <w:rsid w:val="40A37834"/>
    <w:rsid w:val="40B51316"/>
    <w:rsid w:val="40C661A8"/>
    <w:rsid w:val="40F8364C"/>
    <w:rsid w:val="4114603C"/>
    <w:rsid w:val="411C3143"/>
    <w:rsid w:val="41505E5A"/>
    <w:rsid w:val="41614FF9"/>
    <w:rsid w:val="41754519"/>
    <w:rsid w:val="419D6730"/>
    <w:rsid w:val="41AC3A88"/>
    <w:rsid w:val="41DA5707"/>
    <w:rsid w:val="41EF2605"/>
    <w:rsid w:val="421F4BB7"/>
    <w:rsid w:val="4258464E"/>
    <w:rsid w:val="425A3F23"/>
    <w:rsid w:val="426C71CD"/>
    <w:rsid w:val="42815953"/>
    <w:rsid w:val="42A546C6"/>
    <w:rsid w:val="42D02437"/>
    <w:rsid w:val="42D924E6"/>
    <w:rsid w:val="42DA32B5"/>
    <w:rsid w:val="42FE0D52"/>
    <w:rsid w:val="42FF60B2"/>
    <w:rsid w:val="43370708"/>
    <w:rsid w:val="439B61ED"/>
    <w:rsid w:val="43BBCE85"/>
    <w:rsid w:val="43E53CC0"/>
    <w:rsid w:val="44380293"/>
    <w:rsid w:val="447F5DD9"/>
    <w:rsid w:val="44817E8C"/>
    <w:rsid w:val="449A71A0"/>
    <w:rsid w:val="44CB55AC"/>
    <w:rsid w:val="452D591E"/>
    <w:rsid w:val="45474CFD"/>
    <w:rsid w:val="4550160D"/>
    <w:rsid w:val="4571520B"/>
    <w:rsid w:val="4573502A"/>
    <w:rsid w:val="45790B64"/>
    <w:rsid w:val="4597548E"/>
    <w:rsid w:val="45AF46D1"/>
    <w:rsid w:val="45F5D12C"/>
    <w:rsid w:val="45FC901A"/>
    <w:rsid w:val="462404C8"/>
    <w:rsid w:val="469367CD"/>
    <w:rsid w:val="473F4491"/>
    <w:rsid w:val="475F890D"/>
    <w:rsid w:val="477FB13D"/>
    <w:rsid w:val="479A3013"/>
    <w:rsid w:val="47D604EF"/>
    <w:rsid w:val="47DF62B3"/>
    <w:rsid w:val="47FB6CE6"/>
    <w:rsid w:val="48065A3F"/>
    <w:rsid w:val="48270D4B"/>
    <w:rsid w:val="482E032B"/>
    <w:rsid w:val="4871683D"/>
    <w:rsid w:val="4877040A"/>
    <w:rsid w:val="487D3F41"/>
    <w:rsid w:val="48806E00"/>
    <w:rsid w:val="488841DB"/>
    <w:rsid w:val="488C694B"/>
    <w:rsid w:val="48AC2D5E"/>
    <w:rsid w:val="48B06749"/>
    <w:rsid w:val="48D83DF3"/>
    <w:rsid w:val="49144199"/>
    <w:rsid w:val="4950337A"/>
    <w:rsid w:val="49973CAE"/>
    <w:rsid w:val="49BD2994"/>
    <w:rsid w:val="49FC770E"/>
    <w:rsid w:val="49FFFC1E"/>
    <w:rsid w:val="4A280276"/>
    <w:rsid w:val="4AA91EEB"/>
    <w:rsid w:val="4AD5FFEF"/>
    <w:rsid w:val="4ADD7DE7"/>
    <w:rsid w:val="4AEF71FC"/>
    <w:rsid w:val="4AF33166"/>
    <w:rsid w:val="4AFA62A3"/>
    <w:rsid w:val="4B36C3A6"/>
    <w:rsid w:val="4B5F25AA"/>
    <w:rsid w:val="4B8D35BB"/>
    <w:rsid w:val="4B8DE063"/>
    <w:rsid w:val="4BC6087B"/>
    <w:rsid w:val="4BCFDC4B"/>
    <w:rsid w:val="4BD4BD1A"/>
    <w:rsid w:val="4BDE9B22"/>
    <w:rsid w:val="4BF256C6"/>
    <w:rsid w:val="4BFF57E2"/>
    <w:rsid w:val="4BFFC788"/>
    <w:rsid w:val="4BFFECB9"/>
    <w:rsid w:val="4C235CCD"/>
    <w:rsid w:val="4C5C48B0"/>
    <w:rsid w:val="4C771B75"/>
    <w:rsid w:val="4CB05A24"/>
    <w:rsid w:val="4CD46FC7"/>
    <w:rsid w:val="4CF6E048"/>
    <w:rsid w:val="4D01600E"/>
    <w:rsid w:val="4D116260"/>
    <w:rsid w:val="4D602609"/>
    <w:rsid w:val="4DBB9DAF"/>
    <w:rsid w:val="4DBCE1F4"/>
    <w:rsid w:val="4DEF5379"/>
    <w:rsid w:val="4E766588"/>
    <w:rsid w:val="4E880069"/>
    <w:rsid w:val="4EAF8A8C"/>
    <w:rsid w:val="4EB4172E"/>
    <w:rsid w:val="4EF535D4"/>
    <w:rsid w:val="4EF6A2FD"/>
    <w:rsid w:val="4EFD2805"/>
    <w:rsid w:val="4F16073D"/>
    <w:rsid w:val="4F4B38EF"/>
    <w:rsid w:val="4F4E12B3"/>
    <w:rsid w:val="4F587F31"/>
    <w:rsid w:val="4F592485"/>
    <w:rsid w:val="4F5C9A95"/>
    <w:rsid w:val="4F6A4986"/>
    <w:rsid w:val="4F7E45FC"/>
    <w:rsid w:val="4FB22DE6"/>
    <w:rsid w:val="4FBC446F"/>
    <w:rsid w:val="4FEE00FA"/>
    <w:rsid w:val="4FEFEE2A"/>
    <w:rsid w:val="4FF57885"/>
    <w:rsid w:val="4FF8027B"/>
    <w:rsid w:val="4FFB2953"/>
    <w:rsid w:val="4FFECF5C"/>
    <w:rsid w:val="50326C26"/>
    <w:rsid w:val="506F14E1"/>
    <w:rsid w:val="50947199"/>
    <w:rsid w:val="50D154FD"/>
    <w:rsid w:val="50EE4AFC"/>
    <w:rsid w:val="50EE5ABE"/>
    <w:rsid w:val="50F62C21"/>
    <w:rsid w:val="51110654"/>
    <w:rsid w:val="51121E6C"/>
    <w:rsid w:val="51141EFB"/>
    <w:rsid w:val="51B269D5"/>
    <w:rsid w:val="51F7CC04"/>
    <w:rsid w:val="520914C1"/>
    <w:rsid w:val="524424F9"/>
    <w:rsid w:val="525C9647"/>
    <w:rsid w:val="528D20F2"/>
    <w:rsid w:val="52E77188"/>
    <w:rsid w:val="52EFB819"/>
    <w:rsid w:val="53095C1D"/>
    <w:rsid w:val="533FFC85"/>
    <w:rsid w:val="535A2065"/>
    <w:rsid w:val="535F33E0"/>
    <w:rsid w:val="536F892D"/>
    <w:rsid w:val="537F0E3E"/>
    <w:rsid w:val="53DD4153"/>
    <w:rsid w:val="53DFA666"/>
    <w:rsid w:val="53E144A4"/>
    <w:rsid w:val="53FA9FA3"/>
    <w:rsid w:val="53FBB9DB"/>
    <w:rsid w:val="53FD511F"/>
    <w:rsid w:val="540957A8"/>
    <w:rsid w:val="540D34EB"/>
    <w:rsid w:val="54AD082A"/>
    <w:rsid w:val="54AE00FE"/>
    <w:rsid w:val="54BF230B"/>
    <w:rsid w:val="54C62141"/>
    <w:rsid w:val="54E970A0"/>
    <w:rsid w:val="54EB1352"/>
    <w:rsid w:val="552FE71C"/>
    <w:rsid w:val="555FDF2D"/>
    <w:rsid w:val="55735CBD"/>
    <w:rsid w:val="55791E47"/>
    <w:rsid w:val="557B0928"/>
    <w:rsid w:val="557C95F7"/>
    <w:rsid w:val="55B7A796"/>
    <w:rsid w:val="55FA184D"/>
    <w:rsid w:val="55FFE42E"/>
    <w:rsid w:val="564131A5"/>
    <w:rsid w:val="564524F0"/>
    <w:rsid w:val="56555AD9"/>
    <w:rsid w:val="567A2D7B"/>
    <w:rsid w:val="567A711E"/>
    <w:rsid w:val="567D63DF"/>
    <w:rsid w:val="56C43C09"/>
    <w:rsid w:val="56D2177F"/>
    <w:rsid w:val="56DC70C5"/>
    <w:rsid w:val="56DFEDD1"/>
    <w:rsid w:val="56ECC045"/>
    <w:rsid w:val="56FDEFAE"/>
    <w:rsid w:val="56FF861A"/>
    <w:rsid w:val="56FF8942"/>
    <w:rsid w:val="571573C8"/>
    <w:rsid w:val="57262E0D"/>
    <w:rsid w:val="572D7F4A"/>
    <w:rsid w:val="573C5E95"/>
    <w:rsid w:val="573F01F5"/>
    <w:rsid w:val="576B73A2"/>
    <w:rsid w:val="577B3541"/>
    <w:rsid w:val="577EAAFA"/>
    <w:rsid w:val="577F9BF8"/>
    <w:rsid w:val="577FC58C"/>
    <w:rsid w:val="57AF31EA"/>
    <w:rsid w:val="57AF69EB"/>
    <w:rsid w:val="57BC2B32"/>
    <w:rsid w:val="57BF1380"/>
    <w:rsid w:val="57CE1008"/>
    <w:rsid w:val="57CFA339"/>
    <w:rsid w:val="57DCE273"/>
    <w:rsid w:val="57DEE757"/>
    <w:rsid w:val="57FE140D"/>
    <w:rsid w:val="57FF7DF6"/>
    <w:rsid w:val="5821512A"/>
    <w:rsid w:val="583848AE"/>
    <w:rsid w:val="58405511"/>
    <w:rsid w:val="585D67FF"/>
    <w:rsid w:val="58A67F95"/>
    <w:rsid w:val="58AA3D2E"/>
    <w:rsid w:val="58D07FB5"/>
    <w:rsid w:val="59282B75"/>
    <w:rsid w:val="594D4389"/>
    <w:rsid w:val="594ECA61"/>
    <w:rsid w:val="596FF79C"/>
    <w:rsid w:val="59710078"/>
    <w:rsid w:val="599FFFE7"/>
    <w:rsid w:val="59A857F1"/>
    <w:rsid w:val="59BF2626"/>
    <w:rsid w:val="59D10B16"/>
    <w:rsid w:val="59D56D3A"/>
    <w:rsid w:val="59EF1597"/>
    <w:rsid w:val="59F7F49B"/>
    <w:rsid w:val="59FD5417"/>
    <w:rsid w:val="59FE0F9C"/>
    <w:rsid w:val="59FF6E71"/>
    <w:rsid w:val="59FFCC99"/>
    <w:rsid w:val="5A0E2F38"/>
    <w:rsid w:val="5A3A490E"/>
    <w:rsid w:val="5AAC561D"/>
    <w:rsid w:val="5ABA3CA0"/>
    <w:rsid w:val="5AC6388E"/>
    <w:rsid w:val="5AE34FA5"/>
    <w:rsid w:val="5AE999E7"/>
    <w:rsid w:val="5AFD8816"/>
    <w:rsid w:val="5AFEBC51"/>
    <w:rsid w:val="5B1D3335"/>
    <w:rsid w:val="5B433C96"/>
    <w:rsid w:val="5B6F6CBE"/>
    <w:rsid w:val="5BB25666"/>
    <w:rsid w:val="5BBF5452"/>
    <w:rsid w:val="5BDE576D"/>
    <w:rsid w:val="5BDF7CC9"/>
    <w:rsid w:val="5BE78616"/>
    <w:rsid w:val="5BEF5AFF"/>
    <w:rsid w:val="5BF3767A"/>
    <w:rsid w:val="5BF81B2D"/>
    <w:rsid w:val="5BFF0992"/>
    <w:rsid w:val="5C001B87"/>
    <w:rsid w:val="5C0FF826"/>
    <w:rsid w:val="5C9B365E"/>
    <w:rsid w:val="5CEFC5C7"/>
    <w:rsid w:val="5CF3FC10"/>
    <w:rsid w:val="5CFF0F11"/>
    <w:rsid w:val="5D2E1CA6"/>
    <w:rsid w:val="5D5CC29B"/>
    <w:rsid w:val="5D6F9614"/>
    <w:rsid w:val="5D740137"/>
    <w:rsid w:val="5D779EAF"/>
    <w:rsid w:val="5D7D78AA"/>
    <w:rsid w:val="5D7D8C8C"/>
    <w:rsid w:val="5D8F6D1E"/>
    <w:rsid w:val="5DAE1D4B"/>
    <w:rsid w:val="5DCB9ED8"/>
    <w:rsid w:val="5DDE16C0"/>
    <w:rsid w:val="5DDF439A"/>
    <w:rsid w:val="5DE0757A"/>
    <w:rsid w:val="5DE6102E"/>
    <w:rsid w:val="5DFEFA17"/>
    <w:rsid w:val="5DFEFE2D"/>
    <w:rsid w:val="5DFFB90E"/>
    <w:rsid w:val="5E08087F"/>
    <w:rsid w:val="5E3508DF"/>
    <w:rsid w:val="5E371EB3"/>
    <w:rsid w:val="5E6E2DD8"/>
    <w:rsid w:val="5E795815"/>
    <w:rsid w:val="5E7DEE0D"/>
    <w:rsid w:val="5E9FEABB"/>
    <w:rsid w:val="5EA3DD23"/>
    <w:rsid w:val="5EB13C4C"/>
    <w:rsid w:val="5EB7D488"/>
    <w:rsid w:val="5ECDD52F"/>
    <w:rsid w:val="5ED370DF"/>
    <w:rsid w:val="5EE78265"/>
    <w:rsid w:val="5EEEA6B3"/>
    <w:rsid w:val="5EEFEB28"/>
    <w:rsid w:val="5EF7B862"/>
    <w:rsid w:val="5EFD42DE"/>
    <w:rsid w:val="5F276E18"/>
    <w:rsid w:val="5F3A0D6D"/>
    <w:rsid w:val="5F3F5E53"/>
    <w:rsid w:val="5F557AF4"/>
    <w:rsid w:val="5F570526"/>
    <w:rsid w:val="5F59C1A1"/>
    <w:rsid w:val="5F5F0972"/>
    <w:rsid w:val="5F7784C5"/>
    <w:rsid w:val="5F7B22F9"/>
    <w:rsid w:val="5F7FA62D"/>
    <w:rsid w:val="5F7FAF3A"/>
    <w:rsid w:val="5F876F96"/>
    <w:rsid w:val="5F9D41CD"/>
    <w:rsid w:val="5FA74BEB"/>
    <w:rsid w:val="5FAAE451"/>
    <w:rsid w:val="5FB3DB17"/>
    <w:rsid w:val="5FB3E3A0"/>
    <w:rsid w:val="5FB573E6"/>
    <w:rsid w:val="5FBD4875"/>
    <w:rsid w:val="5FBD9B76"/>
    <w:rsid w:val="5FBE8019"/>
    <w:rsid w:val="5FBF2E42"/>
    <w:rsid w:val="5FBF879F"/>
    <w:rsid w:val="5FBFA91A"/>
    <w:rsid w:val="5FBFC277"/>
    <w:rsid w:val="5FBFF1F7"/>
    <w:rsid w:val="5FC78FAE"/>
    <w:rsid w:val="5FCC24AC"/>
    <w:rsid w:val="5FCCF4C7"/>
    <w:rsid w:val="5FD74097"/>
    <w:rsid w:val="5FDBECEB"/>
    <w:rsid w:val="5FDC29C4"/>
    <w:rsid w:val="5FDFE876"/>
    <w:rsid w:val="5FED6A61"/>
    <w:rsid w:val="5FEE7220"/>
    <w:rsid w:val="5FEE9B03"/>
    <w:rsid w:val="5FEFE27D"/>
    <w:rsid w:val="5FF6198D"/>
    <w:rsid w:val="5FF76D4F"/>
    <w:rsid w:val="5FF7FA59"/>
    <w:rsid w:val="5FFAB17D"/>
    <w:rsid w:val="5FFB6174"/>
    <w:rsid w:val="5FFB6583"/>
    <w:rsid w:val="5FFB8D71"/>
    <w:rsid w:val="5FFBBBD4"/>
    <w:rsid w:val="5FFD724E"/>
    <w:rsid w:val="5FFDD3C2"/>
    <w:rsid w:val="5FFF7075"/>
    <w:rsid w:val="5FFFA1D4"/>
    <w:rsid w:val="5FFFDED1"/>
    <w:rsid w:val="609A3271"/>
    <w:rsid w:val="60A34281"/>
    <w:rsid w:val="60A64D7A"/>
    <w:rsid w:val="614442C4"/>
    <w:rsid w:val="618A0A16"/>
    <w:rsid w:val="61BD7BD2"/>
    <w:rsid w:val="61C55405"/>
    <w:rsid w:val="61DFB911"/>
    <w:rsid w:val="62674953"/>
    <w:rsid w:val="628A7AC1"/>
    <w:rsid w:val="62A50D92"/>
    <w:rsid w:val="62F371C9"/>
    <w:rsid w:val="62FE77B0"/>
    <w:rsid w:val="6313173E"/>
    <w:rsid w:val="633B5253"/>
    <w:rsid w:val="637F0A7F"/>
    <w:rsid w:val="63C86F01"/>
    <w:rsid w:val="63EB0A27"/>
    <w:rsid w:val="63F2026A"/>
    <w:rsid w:val="63F735CF"/>
    <w:rsid w:val="641C32D6"/>
    <w:rsid w:val="64306D81"/>
    <w:rsid w:val="64373C6C"/>
    <w:rsid w:val="643D2C39"/>
    <w:rsid w:val="64752441"/>
    <w:rsid w:val="64D911C7"/>
    <w:rsid w:val="65043F50"/>
    <w:rsid w:val="65183A46"/>
    <w:rsid w:val="651B17E0"/>
    <w:rsid w:val="65A90B99"/>
    <w:rsid w:val="65B62A61"/>
    <w:rsid w:val="65B907C0"/>
    <w:rsid w:val="65FE5945"/>
    <w:rsid w:val="65FF3C4F"/>
    <w:rsid w:val="65FFC9C5"/>
    <w:rsid w:val="662C3382"/>
    <w:rsid w:val="665A14BD"/>
    <w:rsid w:val="667F68EC"/>
    <w:rsid w:val="66953B2A"/>
    <w:rsid w:val="66B53592"/>
    <w:rsid w:val="66B87D74"/>
    <w:rsid w:val="66CB4A6A"/>
    <w:rsid w:val="66DB6124"/>
    <w:rsid w:val="676FE7CA"/>
    <w:rsid w:val="677F090C"/>
    <w:rsid w:val="677F48D8"/>
    <w:rsid w:val="679334F7"/>
    <w:rsid w:val="679DD0D2"/>
    <w:rsid w:val="67B7AB0C"/>
    <w:rsid w:val="67D3BA04"/>
    <w:rsid w:val="67DA0AF1"/>
    <w:rsid w:val="67DD7084"/>
    <w:rsid w:val="67DE76A9"/>
    <w:rsid w:val="67DEBE62"/>
    <w:rsid w:val="67DEFF3A"/>
    <w:rsid w:val="67DF8831"/>
    <w:rsid w:val="67EA856D"/>
    <w:rsid w:val="67F59148"/>
    <w:rsid w:val="67F6C5FC"/>
    <w:rsid w:val="67FB9F81"/>
    <w:rsid w:val="67FBA6FA"/>
    <w:rsid w:val="67FF0F45"/>
    <w:rsid w:val="67FFF07B"/>
    <w:rsid w:val="680B488E"/>
    <w:rsid w:val="68104F00"/>
    <w:rsid w:val="6863BED5"/>
    <w:rsid w:val="68A1024E"/>
    <w:rsid w:val="68A51F3A"/>
    <w:rsid w:val="68B82643"/>
    <w:rsid w:val="68C65B7A"/>
    <w:rsid w:val="68C73618"/>
    <w:rsid w:val="68CA4E41"/>
    <w:rsid w:val="68D21B68"/>
    <w:rsid w:val="69112CDD"/>
    <w:rsid w:val="695FCC9C"/>
    <w:rsid w:val="696279DD"/>
    <w:rsid w:val="69894F6A"/>
    <w:rsid w:val="69967687"/>
    <w:rsid w:val="69AA3132"/>
    <w:rsid w:val="69BBC4B1"/>
    <w:rsid w:val="69DB0ACD"/>
    <w:rsid w:val="69DE19D0"/>
    <w:rsid w:val="69DE77E0"/>
    <w:rsid w:val="69DF2C31"/>
    <w:rsid w:val="69EB7ECD"/>
    <w:rsid w:val="69ED9B33"/>
    <w:rsid w:val="69FB161A"/>
    <w:rsid w:val="69FCCD1A"/>
    <w:rsid w:val="6A927F39"/>
    <w:rsid w:val="6A9E616E"/>
    <w:rsid w:val="6AC82D34"/>
    <w:rsid w:val="6AF7601D"/>
    <w:rsid w:val="6AFC2865"/>
    <w:rsid w:val="6AFF306F"/>
    <w:rsid w:val="6B146AB5"/>
    <w:rsid w:val="6B29FF3B"/>
    <w:rsid w:val="6B2C2051"/>
    <w:rsid w:val="6B6AB349"/>
    <w:rsid w:val="6B6D2669"/>
    <w:rsid w:val="6B7AFB18"/>
    <w:rsid w:val="6B7B8532"/>
    <w:rsid w:val="6B7C4373"/>
    <w:rsid w:val="6B7D6DD4"/>
    <w:rsid w:val="6B8A5615"/>
    <w:rsid w:val="6B944F7F"/>
    <w:rsid w:val="6BB7C8CA"/>
    <w:rsid w:val="6BF95CAB"/>
    <w:rsid w:val="6BFC151E"/>
    <w:rsid w:val="6BFD5D45"/>
    <w:rsid w:val="6BFFE7DA"/>
    <w:rsid w:val="6BFFF384"/>
    <w:rsid w:val="6C0905E4"/>
    <w:rsid w:val="6C17AB0B"/>
    <w:rsid w:val="6C7F3A98"/>
    <w:rsid w:val="6CA64085"/>
    <w:rsid w:val="6CAB3449"/>
    <w:rsid w:val="6CAF34B7"/>
    <w:rsid w:val="6CF52F9C"/>
    <w:rsid w:val="6CFF152B"/>
    <w:rsid w:val="6D3EEEFB"/>
    <w:rsid w:val="6D415776"/>
    <w:rsid w:val="6D587564"/>
    <w:rsid w:val="6D688DE2"/>
    <w:rsid w:val="6D7F1CFA"/>
    <w:rsid w:val="6DA94129"/>
    <w:rsid w:val="6DAF6DAC"/>
    <w:rsid w:val="6DB50C08"/>
    <w:rsid w:val="6DC9627D"/>
    <w:rsid w:val="6DD45BD1"/>
    <w:rsid w:val="6DD77967"/>
    <w:rsid w:val="6DDB3332"/>
    <w:rsid w:val="6DDF6074"/>
    <w:rsid w:val="6DE52AB9"/>
    <w:rsid w:val="6DEF1C75"/>
    <w:rsid w:val="6DFEFAE3"/>
    <w:rsid w:val="6E1B45FE"/>
    <w:rsid w:val="6E324BD7"/>
    <w:rsid w:val="6E414065"/>
    <w:rsid w:val="6E5B0FC4"/>
    <w:rsid w:val="6E7B9609"/>
    <w:rsid w:val="6EA1C417"/>
    <w:rsid w:val="6EAF3549"/>
    <w:rsid w:val="6EB7C7E8"/>
    <w:rsid w:val="6EBB5AC9"/>
    <w:rsid w:val="6ECF165A"/>
    <w:rsid w:val="6ECF736B"/>
    <w:rsid w:val="6ED053E9"/>
    <w:rsid w:val="6EDF8694"/>
    <w:rsid w:val="6EE1E54E"/>
    <w:rsid w:val="6EE5C7A8"/>
    <w:rsid w:val="6EF480FE"/>
    <w:rsid w:val="6EF7E7A2"/>
    <w:rsid w:val="6EFBAC27"/>
    <w:rsid w:val="6EFEA2E0"/>
    <w:rsid w:val="6F280BF7"/>
    <w:rsid w:val="6F2FD190"/>
    <w:rsid w:val="6F365BF1"/>
    <w:rsid w:val="6F3697FC"/>
    <w:rsid w:val="6F3B3637"/>
    <w:rsid w:val="6F3B3B8F"/>
    <w:rsid w:val="6F4162E7"/>
    <w:rsid w:val="6F46176F"/>
    <w:rsid w:val="6F576187"/>
    <w:rsid w:val="6F6E4EE8"/>
    <w:rsid w:val="6F6F888C"/>
    <w:rsid w:val="6F759133"/>
    <w:rsid w:val="6F7BD5DF"/>
    <w:rsid w:val="6F7D584A"/>
    <w:rsid w:val="6F7DDE23"/>
    <w:rsid w:val="6F7E3C58"/>
    <w:rsid w:val="6F9EAE20"/>
    <w:rsid w:val="6FAC195A"/>
    <w:rsid w:val="6FADC338"/>
    <w:rsid w:val="6FAE12B7"/>
    <w:rsid w:val="6FBAF3DF"/>
    <w:rsid w:val="6FBF9BA0"/>
    <w:rsid w:val="6FD314CE"/>
    <w:rsid w:val="6FD55D78"/>
    <w:rsid w:val="6FD5783B"/>
    <w:rsid w:val="6FD959E6"/>
    <w:rsid w:val="6FDBCD8A"/>
    <w:rsid w:val="6FEF3789"/>
    <w:rsid w:val="6FF69A55"/>
    <w:rsid w:val="6FFADE44"/>
    <w:rsid w:val="6FFB3419"/>
    <w:rsid w:val="6FFBD72A"/>
    <w:rsid w:val="6FFCEC90"/>
    <w:rsid w:val="6FFD94FF"/>
    <w:rsid w:val="6FFDCB10"/>
    <w:rsid w:val="6FFE0975"/>
    <w:rsid w:val="6FFE742E"/>
    <w:rsid w:val="6FFE78C8"/>
    <w:rsid w:val="6FFED212"/>
    <w:rsid w:val="6FFF5E8B"/>
    <w:rsid w:val="6FFF69BB"/>
    <w:rsid w:val="701256CF"/>
    <w:rsid w:val="703E4332"/>
    <w:rsid w:val="70577365"/>
    <w:rsid w:val="705B0CE2"/>
    <w:rsid w:val="706109EE"/>
    <w:rsid w:val="7077171B"/>
    <w:rsid w:val="707FDCCA"/>
    <w:rsid w:val="70BC7066"/>
    <w:rsid w:val="70F78AE0"/>
    <w:rsid w:val="70FFB297"/>
    <w:rsid w:val="711315BD"/>
    <w:rsid w:val="7113776B"/>
    <w:rsid w:val="712422B5"/>
    <w:rsid w:val="71257C55"/>
    <w:rsid w:val="71347EB1"/>
    <w:rsid w:val="714B6FA9"/>
    <w:rsid w:val="716B31A7"/>
    <w:rsid w:val="716B76BC"/>
    <w:rsid w:val="717C3606"/>
    <w:rsid w:val="717DA17B"/>
    <w:rsid w:val="717DD04A"/>
    <w:rsid w:val="71803FA0"/>
    <w:rsid w:val="71873C57"/>
    <w:rsid w:val="7197AEEA"/>
    <w:rsid w:val="71BEE22C"/>
    <w:rsid w:val="71D141E5"/>
    <w:rsid w:val="71DF9A99"/>
    <w:rsid w:val="71F6B95D"/>
    <w:rsid w:val="71FFE8BE"/>
    <w:rsid w:val="723A230D"/>
    <w:rsid w:val="72778B6B"/>
    <w:rsid w:val="72DA05E4"/>
    <w:rsid w:val="72E5BF88"/>
    <w:rsid w:val="72ED4273"/>
    <w:rsid w:val="72F28C7E"/>
    <w:rsid w:val="72FB6C03"/>
    <w:rsid w:val="72FB90F7"/>
    <w:rsid w:val="72FBF895"/>
    <w:rsid w:val="72FDC4D7"/>
    <w:rsid w:val="73110C6E"/>
    <w:rsid w:val="7357C574"/>
    <w:rsid w:val="736BE269"/>
    <w:rsid w:val="736F3FDD"/>
    <w:rsid w:val="73712257"/>
    <w:rsid w:val="737E3091"/>
    <w:rsid w:val="737FD70C"/>
    <w:rsid w:val="73991F68"/>
    <w:rsid w:val="73B9F43B"/>
    <w:rsid w:val="73BE5ABE"/>
    <w:rsid w:val="73BE5BB3"/>
    <w:rsid w:val="73BFECC9"/>
    <w:rsid w:val="73CC5F1D"/>
    <w:rsid w:val="73E031CA"/>
    <w:rsid w:val="73EE6728"/>
    <w:rsid w:val="73EE77E7"/>
    <w:rsid w:val="73F976B8"/>
    <w:rsid w:val="73FFA6D4"/>
    <w:rsid w:val="73FFF5A2"/>
    <w:rsid w:val="743FB732"/>
    <w:rsid w:val="74573C4C"/>
    <w:rsid w:val="74739F5F"/>
    <w:rsid w:val="74AC10F3"/>
    <w:rsid w:val="74BED5EA"/>
    <w:rsid w:val="74DDC1F5"/>
    <w:rsid w:val="74FB103E"/>
    <w:rsid w:val="74FF2C75"/>
    <w:rsid w:val="74FFEC79"/>
    <w:rsid w:val="75025D37"/>
    <w:rsid w:val="752F3F87"/>
    <w:rsid w:val="755D77BF"/>
    <w:rsid w:val="756E3266"/>
    <w:rsid w:val="757A7E5C"/>
    <w:rsid w:val="757CCA2E"/>
    <w:rsid w:val="759BD825"/>
    <w:rsid w:val="75D8F338"/>
    <w:rsid w:val="75DAA063"/>
    <w:rsid w:val="75DB2E7A"/>
    <w:rsid w:val="75DF1317"/>
    <w:rsid w:val="75E95420"/>
    <w:rsid w:val="75F3C6FB"/>
    <w:rsid w:val="75FD0D26"/>
    <w:rsid w:val="75FD4E80"/>
    <w:rsid w:val="75FDCC45"/>
    <w:rsid w:val="75FE324A"/>
    <w:rsid w:val="75FE7E64"/>
    <w:rsid w:val="75FF0DF8"/>
    <w:rsid w:val="76307932"/>
    <w:rsid w:val="76516E0F"/>
    <w:rsid w:val="766C7157"/>
    <w:rsid w:val="766F362B"/>
    <w:rsid w:val="767743E7"/>
    <w:rsid w:val="767E48AF"/>
    <w:rsid w:val="76BDB7CB"/>
    <w:rsid w:val="76BE9BF5"/>
    <w:rsid w:val="76DE0C4C"/>
    <w:rsid w:val="76DEF6B5"/>
    <w:rsid w:val="76E7BF0D"/>
    <w:rsid w:val="76EF3CEE"/>
    <w:rsid w:val="76F61E48"/>
    <w:rsid w:val="76F90F4D"/>
    <w:rsid w:val="76FF24B2"/>
    <w:rsid w:val="7702863E"/>
    <w:rsid w:val="77123D63"/>
    <w:rsid w:val="77285872"/>
    <w:rsid w:val="773B286B"/>
    <w:rsid w:val="773BD368"/>
    <w:rsid w:val="774F30DF"/>
    <w:rsid w:val="77566DAC"/>
    <w:rsid w:val="775E61D0"/>
    <w:rsid w:val="7777D138"/>
    <w:rsid w:val="777A92FC"/>
    <w:rsid w:val="777BE08E"/>
    <w:rsid w:val="777C9073"/>
    <w:rsid w:val="777DD9FA"/>
    <w:rsid w:val="778B9399"/>
    <w:rsid w:val="77B1CE5E"/>
    <w:rsid w:val="77B53F5C"/>
    <w:rsid w:val="77BBFBC8"/>
    <w:rsid w:val="77BD6A5D"/>
    <w:rsid w:val="77BDD1F1"/>
    <w:rsid w:val="77BDE9B1"/>
    <w:rsid w:val="77BE017F"/>
    <w:rsid w:val="77C9DE9D"/>
    <w:rsid w:val="77CD1A9C"/>
    <w:rsid w:val="77D3326F"/>
    <w:rsid w:val="77DB2355"/>
    <w:rsid w:val="77DD3049"/>
    <w:rsid w:val="77DF9D03"/>
    <w:rsid w:val="77DFE4B2"/>
    <w:rsid w:val="77E76A7D"/>
    <w:rsid w:val="77EDB751"/>
    <w:rsid w:val="77EFAAA4"/>
    <w:rsid w:val="77F2DA80"/>
    <w:rsid w:val="77F53C35"/>
    <w:rsid w:val="77F70358"/>
    <w:rsid w:val="77F75407"/>
    <w:rsid w:val="77FF2D1D"/>
    <w:rsid w:val="77FF550E"/>
    <w:rsid w:val="77FF8EF1"/>
    <w:rsid w:val="77FF9800"/>
    <w:rsid w:val="77FF9FBC"/>
    <w:rsid w:val="77FFBDC1"/>
    <w:rsid w:val="780FBBA4"/>
    <w:rsid w:val="781F4071"/>
    <w:rsid w:val="78576E65"/>
    <w:rsid w:val="785E5813"/>
    <w:rsid w:val="78827754"/>
    <w:rsid w:val="789842C8"/>
    <w:rsid w:val="78A27E89"/>
    <w:rsid w:val="78C733B9"/>
    <w:rsid w:val="78DE0702"/>
    <w:rsid w:val="78F4B875"/>
    <w:rsid w:val="78F68615"/>
    <w:rsid w:val="793547C6"/>
    <w:rsid w:val="79532E9E"/>
    <w:rsid w:val="795F4C73"/>
    <w:rsid w:val="7972306D"/>
    <w:rsid w:val="7995EEAE"/>
    <w:rsid w:val="79A34DCF"/>
    <w:rsid w:val="79BA2F1D"/>
    <w:rsid w:val="79BD2849"/>
    <w:rsid w:val="79C3FB9C"/>
    <w:rsid w:val="79DC1BAD"/>
    <w:rsid w:val="79DF3820"/>
    <w:rsid w:val="79E78618"/>
    <w:rsid w:val="79EE0E19"/>
    <w:rsid w:val="79F1EF51"/>
    <w:rsid w:val="79F5932E"/>
    <w:rsid w:val="79F6545C"/>
    <w:rsid w:val="79FB06E5"/>
    <w:rsid w:val="79FE1A85"/>
    <w:rsid w:val="79FE3504"/>
    <w:rsid w:val="79FFB5D4"/>
    <w:rsid w:val="7A022F7A"/>
    <w:rsid w:val="7A1F1673"/>
    <w:rsid w:val="7A4F7B0A"/>
    <w:rsid w:val="7A6FBD89"/>
    <w:rsid w:val="7A7237F8"/>
    <w:rsid w:val="7A7BBACC"/>
    <w:rsid w:val="7A8F7F06"/>
    <w:rsid w:val="7A990916"/>
    <w:rsid w:val="7A9B0CD9"/>
    <w:rsid w:val="7ADBC838"/>
    <w:rsid w:val="7ADF8B49"/>
    <w:rsid w:val="7AE59FD3"/>
    <w:rsid w:val="7AE76B34"/>
    <w:rsid w:val="7AEDB363"/>
    <w:rsid w:val="7AF661D7"/>
    <w:rsid w:val="7AFA01A1"/>
    <w:rsid w:val="7AFEECB5"/>
    <w:rsid w:val="7AFF9598"/>
    <w:rsid w:val="7B02694D"/>
    <w:rsid w:val="7B171DC1"/>
    <w:rsid w:val="7B27D218"/>
    <w:rsid w:val="7B3DE43A"/>
    <w:rsid w:val="7B3E20C4"/>
    <w:rsid w:val="7B3F93BF"/>
    <w:rsid w:val="7B3FC27C"/>
    <w:rsid w:val="7B4A5E3E"/>
    <w:rsid w:val="7B54727C"/>
    <w:rsid w:val="7B578B52"/>
    <w:rsid w:val="7B5CDB38"/>
    <w:rsid w:val="7B5F250F"/>
    <w:rsid w:val="7B65554A"/>
    <w:rsid w:val="7B67351B"/>
    <w:rsid w:val="7B6A5CF5"/>
    <w:rsid w:val="7B6D981A"/>
    <w:rsid w:val="7B721C41"/>
    <w:rsid w:val="7B764E37"/>
    <w:rsid w:val="7B784E3E"/>
    <w:rsid w:val="7B798700"/>
    <w:rsid w:val="7B7B94C0"/>
    <w:rsid w:val="7B7D8842"/>
    <w:rsid w:val="7B7F3146"/>
    <w:rsid w:val="7B7F7422"/>
    <w:rsid w:val="7B7FA0F4"/>
    <w:rsid w:val="7B8AC688"/>
    <w:rsid w:val="7B8E46B4"/>
    <w:rsid w:val="7B9B1FEE"/>
    <w:rsid w:val="7B9F47E2"/>
    <w:rsid w:val="7BA81D92"/>
    <w:rsid w:val="7BAFE5A0"/>
    <w:rsid w:val="7BB76C50"/>
    <w:rsid w:val="7BBE24F7"/>
    <w:rsid w:val="7BBE5016"/>
    <w:rsid w:val="7BBFF0B5"/>
    <w:rsid w:val="7BBFF491"/>
    <w:rsid w:val="7BCE1317"/>
    <w:rsid w:val="7BCEF1D0"/>
    <w:rsid w:val="7BCF8CEA"/>
    <w:rsid w:val="7BD95CA9"/>
    <w:rsid w:val="7BDD6AE1"/>
    <w:rsid w:val="7BDDC5D4"/>
    <w:rsid w:val="7BDE7397"/>
    <w:rsid w:val="7BEF0125"/>
    <w:rsid w:val="7BEF2E42"/>
    <w:rsid w:val="7BEFA204"/>
    <w:rsid w:val="7BF297A8"/>
    <w:rsid w:val="7BF36372"/>
    <w:rsid w:val="7BF383AB"/>
    <w:rsid w:val="7BF7A20D"/>
    <w:rsid w:val="7BF7AC7A"/>
    <w:rsid w:val="7BFB2B25"/>
    <w:rsid w:val="7BFD0F5D"/>
    <w:rsid w:val="7BFD90AA"/>
    <w:rsid w:val="7BFDE407"/>
    <w:rsid w:val="7BFE52A3"/>
    <w:rsid w:val="7BFE8A71"/>
    <w:rsid w:val="7BFEF093"/>
    <w:rsid w:val="7BFF069D"/>
    <w:rsid w:val="7BFF19C2"/>
    <w:rsid w:val="7BFF4803"/>
    <w:rsid w:val="7BFF61C5"/>
    <w:rsid w:val="7BFF66F2"/>
    <w:rsid w:val="7BFF6CE2"/>
    <w:rsid w:val="7BFFD0BB"/>
    <w:rsid w:val="7C240321"/>
    <w:rsid w:val="7C6A0D5B"/>
    <w:rsid w:val="7C7659ED"/>
    <w:rsid w:val="7C7FFFEF"/>
    <w:rsid w:val="7CA0464C"/>
    <w:rsid w:val="7CB74863"/>
    <w:rsid w:val="7CB77BE8"/>
    <w:rsid w:val="7CBB5940"/>
    <w:rsid w:val="7CBEE5D4"/>
    <w:rsid w:val="7CBF68B6"/>
    <w:rsid w:val="7CD267D0"/>
    <w:rsid w:val="7CDA25F8"/>
    <w:rsid w:val="7CDD349D"/>
    <w:rsid w:val="7CDE962B"/>
    <w:rsid w:val="7CE7DC0C"/>
    <w:rsid w:val="7CEF8139"/>
    <w:rsid w:val="7CF52929"/>
    <w:rsid w:val="7CFB5F1F"/>
    <w:rsid w:val="7CFB6F6B"/>
    <w:rsid w:val="7CFF22CC"/>
    <w:rsid w:val="7CFFAD51"/>
    <w:rsid w:val="7CFFB208"/>
    <w:rsid w:val="7CFFC404"/>
    <w:rsid w:val="7D1B1002"/>
    <w:rsid w:val="7D4EFA63"/>
    <w:rsid w:val="7D5E2D6C"/>
    <w:rsid w:val="7D5EA6F8"/>
    <w:rsid w:val="7D6C392F"/>
    <w:rsid w:val="7D731D61"/>
    <w:rsid w:val="7D77349E"/>
    <w:rsid w:val="7D773AE2"/>
    <w:rsid w:val="7D798A65"/>
    <w:rsid w:val="7D7F970E"/>
    <w:rsid w:val="7D7FB866"/>
    <w:rsid w:val="7D831B72"/>
    <w:rsid w:val="7D967EC9"/>
    <w:rsid w:val="7DB27624"/>
    <w:rsid w:val="7DB92B40"/>
    <w:rsid w:val="7DBD013C"/>
    <w:rsid w:val="7DBDE703"/>
    <w:rsid w:val="7DBE1315"/>
    <w:rsid w:val="7DBF6F1B"/>
    <w:rsid w:val="7DBF882C"/>
    <w:rsid w:val="7DBFE35C"/>
    <w:rsid w:val="7DE3D244"/>
    <w:rsid w:val="7DE79B52"/>
    <w:rsid w:val="7DEAEB06"/>
    <w:rsid w:val="7DEC1A6E"/>
    <w:rsid w:val="7DEF56D8"/>
    <w:rsid w:val="7DEF83C2"/>
    <w:rsid w:val="7DEFE949"/>
    <w:rsid w:val="7DF3A405"/>
    <w:rsid w:val="7DF6E75D"/>
    <w:rsid w:val="7DF721D9"/>
    <w:rsid w:val="7DF77603"/>
    <w:rsid w:val="7DF995DB"/>
    <w:rsid w:val="7DFD0177"/>
    <w:rsid w:val="7DFDF0B7"/>
    <w:rsid w:val="7DFE3690"/>
    <w:rsid w:val="7DFE994A"/>
    <w:rsid w:val="7DFF0024"/>
    <w:rsid w:val="7DFF2191"/>
    <w:rsid w:val="7DFF95CC"/>
    <w:rsid w:val="7DFFCB5C"/>
    <w:rsid w:val="7E0E7118"/>
    <w:rsid w:val="7E1F18DC"/>
    <w:rsid w:val="7E471DDE"/>
    <w:rsid w:val="7E66597C"/>
    <w:rsid w:val="7E6F61EC"/>
    <w:rsid w:val="7E72E930"/>
    <w:rsid w:val="7E76040B"/>
    <w:rsid w:val="7E7DFC0E"/>
    <w:rsid w:val="7E7F2043"/>
    <w:rsid w:val="7E7FF4B1"/>
    <w:rsid w:val="7E8D6E52"/>
    <w:rsid w:val="7E8FC2F1"/>
    <w:rsid w:val="7E9660BD"/>
    <w:rsid w:val="7E976DB8"/>
    <w:rsid w:val="7E9B635C"/>
    <w:rsid w:val="7EAB257A"/>
    <w:rsid w:val="7EAB6B68"/>
    <w:rsid w:val="7EACB981"/>
    <w:rsid w:val="7EB99910"/>
    <w:rsid w:val="7EBA80EB"/>
    <w:rsid w:val="7EBD3334"/>
    <w:rsid w:val="7EBE73C9"/>
    <w:rsid w:val="7EBEE7BC"/>
    <w:rsid w:val="7ECF173A"/>
    <w:rsid w:val="7ED334D6"/>
    <w:rsid w:val="7ED38757"/>
    <w:rsid w:val="7ED95021"/>
    <w:rsid w:val="7EDC3835"/>
    <w:rsid w:val="7EDE2B15"/>
    <w:rsid w:val="7EE6A884"/>
    <w:rsid w:val="7EE7E42A"/>
    <w:rsid w:val="7EEAD6E6"/>
    <w:rsid w:val="7EED9B3D"/>
    <w:rsid w:val="7EEF0FDA"/>
    <w:rsid w:val="7EEFB6DA"/>
    <w:rsid w:val="7EF54C18"/>
    <w:rsid w:val="7EF64F56"/>
    <w:rsid w:val="7EF65E25"/>
    <w:rsid w:val="7EF70841"/>
    <w:rsid w:val="7EFD3657"/>
    <w:rsid w:val="7EFDAD35"/>
    <w:rsid w:val="7EFE29E8"/>
    <w:rsid w:val="7EFE6209"/>
    <w:rsid w:val="7EFEB06A"/>
    <w:rsid w:val="7EFF19B6"/>
    <w:rsid w:val="7EFF251F"/>
    <w:rsid w:val="7EFF3BB1"/>
    <w:rsid w:val="7EFF6EEA"/>
    <w:rsid w:val="7EFF8A4C"/>
    <w:rsid w:val="7F19749D"/>
    <w:rsid w:val="7F1F0A75"/>
    <w:rsid w:val="7F2BC72D"/>
    <w:rsid w:val="7F36B61D"/>
    <w:rsid w:val="7F37031B"/>
    <w:rsid w:val="7F37607B"/>
    <w:rsid w:val="7F3B977D"/>
    <w:rsid w:val="7F3BCD43"/>
    <w:rsid w:val="7F3D753E"/>
    <w:rsid w:val="7F46E525"/>
    <w:rsid w:val="7F4DD8E4"/>
    <w:rsid w:val="7F53A6A6"/>
    <w:rsid w:val="7F5672C4"/>
    <w:rsid w:val="7F576A13"/>
    <w:rsid w:val="7F577007"/>
    <w:rsid w:val="7F57EA52"/>
    <w:rsid w:val="7F5B4CB3"/>
    <w:rsid w:val="7F5EB716"/>
    <w:rsid w:val="7F5F416F"/>
    <w:rsid w:val="7F5F9A53"/>
    <w:rsid w:val="7F5FF33F"/>
    <w:rsid w:val="7F60ED6C"/>
    <w:rsid w:val="7F665EC9"/>
    <w:rsid w:val="7F6B5FB6"/>
    <w:rsid w:val="7F6DD6FE"/>
    <w:rsid w:val="7F6E2036"/>
    <w:rsid w:val="7F6F24EA"/>
    <w:rsid w:val="7F6F36EC"/>
    <w:rsid w:val="7F6F9CB1"/>
    <w:rsid w:val="7F709A1A"/>
    <w:rsid w:val="7F763DDD"/>
    <w:rsid w:val="7F7B296E"/>
    <w:rsid w:val="7F7B314E"/>
    <w:rsid w:val="7F7B3675"/>
    <w:rsid w:val="7F7B4127"/>
    <w:rsid w:val="7F7D2D0A"/>
    <w:rsid w:val="7F7DEC8A"/>
    <w:rsid w:val="7F7E1687"/>
    <w:rsid w:val="7F7F3D8D"/>
    <w:rsid w:val="7F7F97BD"/>
    <w:rsid w:val="7F7FA766"/>
    <w:rsid w:val="7F7FE09A"/>
    <w:rsid w:val="7F9B77BD"/>
    <w:rsid w:val="7F9F59D1"/>
    <w:rsid w:val="7F9F63EB"/>
    <w:rsid w:val="7F9FE334"/>
    <w:rsid w:val="7FA79E41"/>
    <w:rsid w:val="7FAAE9B6"/>
    <w:rsid w:val="7FB090E9"/>
    <w:rsid w:val="7FB3A142"/>
    <w:rsid w:val="7FB74488"/>
    <w:rsid w:val="7FBAF915"/>
    <w:rsid w:val="7FBB07A1"/>
    <w:rsid w:val="7FBBBA89"/>
    <w:rsid w:val="7FBDA9AE"/>
    <w:rsid w:val="7FBEB496"/>
    <w:rsid w:val="7FBEBB23"/>
    <w:rsid w:val="7FBF0F98"/>
    <w:rsid w:val="7FBF6B61"/>
    <w:rsid w:val="7FBFAFED"/>
    <w:rsid w:val="7FC90CF5"/>
    <w:rsid w:val="7FC9B5E6"/>
    <w:rsid w:val="7FCB111C"/>
    <w:rsid w:val="7FCF143D"/>
    <w:rsid w:val="7FD30B69"/>
    <w:rsid w:val="7FD7A8F8"/>
    <w:rsid w:val="7FD7D540"/>
    <w:rsid w:val="7FD9B07E"/>
    <w:rsid w:val="7FDA4140"/>
    <w:rsid w:val="7FDB098D"/>
    <w:rsid w:val="7FDB5525"/>
    <w:rsid w:val="7FDF3F23"/>
    <w:rsid w:val="7FDF7BA1"/>
    <w:rsid w:val="7FDF899F"/>
    <w:rsid w:val="7FDF8D93"/>
    <w:rsid w:val="7FDFD39A"/>
    <w:rsid w:val="7FE1B830"/>
    <w:rsid w:val="7FE2B32C"/>
    <w:rsid w:val="7FE64202"/>
    <w:rsid w:val="7FEA610D"/>
    <w:rsid w:val="7FEBF800"/>
    <w:rsid w:val="7FED498B"/>
    <w:rsid w:val="7FEF2001"/>
    <w:rsid w:val="7FEF6A1F"/>
    <w:rsid w:val="7FEF9795"/>
    <w:rsid w:val="7FEFFCA3"/>
    <w:rsid w:val="7FF3F45C"/>
    <w:rsid w:val="7FF5C79F"/>
    <w:rsid w:val="7FF73874"/>
    <w:rsid w:val="7FF74ED0"/>
    <w:rsid w:val="7FF76571"/>
    <w:rsid w:val="7FF765FC"/>
    <w:rsid w:val="7FF76619"/>
    <w:rsid w:val="7FF76A3E"/>
    <w:rsid w:val="7FF775CC"/>
    <w:rsid w:val="7FF85BDC"/>
    <w:rsid w:val="7FF940B2"/>
    <w:rsid w:val="7FF942C6"/>
    <w:rsid w:val="7FFAFBDD"/>
    <w:rsid w:val="7FFB2E0D"/>
    <w:rsid w:val="7FFB6970"/>
    <w:rsid w:val="7FFBB7A9"/>
    <w:rsid w:val="7FFBC5F7"/>
    <w:rsid w:val="7FFBC7AF"/>
    <w:rsid w:val="7FFC774C"/>
    <w:rsid w:val="7FFC7820"/>
    <w:rsid w:val="7FFC8934"/>
    <w:rsid w:val="7FFCC14C"/>
    <w:rsid w:val="7FFD0E11"/>
    <w:rsid w:val="7FFD30FA"/>
    <w:rsid w:val="7FFDB4CE"/>
    <w:rsid w:val="7FFDCA46"/>
    <w:rsid w:val="7FFEEE3B"/>
    <w:rsid w:val="7FFEEEC6"/>
    <w:rsid w:val="7FFF0260"/>
    <w:rsid w:val="7FFF0CFA"/>
    <w:rsid w:val="7FFF2AC4"/>
    <w:rsid w:val="7FFF38CB"/>
    <w:rsid w:val="7FFF3CF1"/>
    <w:rsid w:val="7FFF442F"/>
    <w:rsid w:val="7FFF4589"/>
    <w:rsid w:val="7FFF6062"/>
    <w:rsid w:val="7FFF6699"/>
    <w:rsid w:val="7FFF8FD6"/>
    <w:rsid w:val="7FFF92E1"/>
    <w:rsid w:val="7FFF9EC6"/>
    <w:rsid w:val="7FFF9F5D"/>
    <w:rsid w:val="7FFFA0EB"/>
    <w:rsid w:val="7FFFACC6"/>
    <w:rsid w:val="7FFFC0D9"/>
    <w:rsid w:val="7FFFC210"/>
    <w:rsid w:val="7FFFC6A5"/>
    <w:rsid w:val="7FFFD8BA"/>
    <w:rsid w:val="7FFFD92F"/>
    <w:rsid w:val="84FF22F9"/>
    <w:rsid w:val="857F9715"/>
    <w:rsid w:val="87EB35D8"/>
    <w:rsid w:val="8BAEC20F"/>
    <w:rsid w:val="8BBF7F28"/>
    <w:rsid w:val="8BDD6446"/>
    <w:rsid w:val="8BEB9EAE"/>
    <w:rsid w:val="8BF5B465"/>
    <w:rsid w:val="8DF9F40C"/>
    <w:rsid w:val="8DFF48E4"/>
    <w:rsid w:val="8E7C6D4A"/>
    <w:rsid w:val="8EEFFDBB"/>
    <w:rsid w:val="8F1A4140"/>
    <w:rsid w:val="8F3FCB9E"/>
    <w:rsid w:val="8F962619"/>
    <w:rsid w:val="8FDBA9A5"/>
    <w:rsid w:val="8FDC3D26"/>
    <w:rsid w:val="8FEE0C5E"/>
    <w:rsid w:val="8FF1E4C9"/>
    <w:rsid w:val="8FFD3913"/>
    <w:rsid w:val="8FFE57DA"/>
    <w:rsid w:val="93CF70B9"/>
    <w:rsid w:val="95B94939"/>
    <w:rsid w:val="95DDA62C"/>
    <w:rsid w:val="95FFD506"/>
    <w:rsid w:val="96FE66F3"/>
    <w:rsid w:val="976F776E"/>
    <w:rsid w:val="97BE8491"/>
    <w:rsid w:val="97BECCE0"/>
    <w:rsid w:val="97BFFFAE"/>
    <w:rsid w:val="98674CC0"/>
    <w:rsid w:val="9976586C"/>
    <w:rsid w:val="99FE8453"/>
    <w:rsid w:val="9A5982B1"/>
    <w:rsid w:val="9A5F96F1"/>
    <w:rsid w:val="9AA70088"/>
    <w:rsid w:val="9AE64587"/>
    <w:rsid w:val="9B5FC5C7"/>
    <w:rsid w:val="9BC512A1"/>
    <w:rsid w:val="9BDE13EE"/>
    <w:rsid w:val="9CCBB844"/>
    <w:rsid w:val="9CDF42FC"/>
    <w:rsid w:val="9D3BCE85"/>
    <w:rsid w:val="9DC72394"/>
    <w:rsid w:val="9DEF66EB"/>
    <w:rsid w:val="9E3F7994"/>
    <w:rsid w:val="9EBC7CB2"/>
    <w:rsid w:val="9EBFEF34"/>
    <w:rsid w:val="9EDB45EE"/>
    <w:rsid w:val="9EFBC33E"/>
    <w:rsid w:val="9F7306BB"/>
    <w:rsid w:val="9F7E63DB"/>
    <w:rsid w:val="9F9E355F"/>
    <w:rsid w:val="9FAF1790"/>
    <w:rsid w:val="9FBEF3B6"/>
    <w:rsid w:val="9FCABAA1"/>
    <w:rsid w:val="9FCF1726"/>
    <w:rsid w:val="9FCF8BBC"/>
    <w:rsid w:val="9FD78379"/>
    <w:rsid w:val="9FDCE5CA"/>
    <w:rsid w:val="9FDF1225"/>
    <w:rsid w:val="9FDF2195"/>
    <w:rsid w:val="9FEEE43A"/>
    <w:rsid w:val="9FF78DB4"/>
    <w:rsid w:val="9FF8A98B"/>
    <w:rsid w:val="9FFBFD63"/>
    <w:rsid w:val="9FFCAD0C"/>
    <w:rsid w:val="9FFDBA9D"/>
    <w:rsid w:val="9FFDBC85"/>
    <w:rsid w:val="9FFEB0B7"/>
    <w:rsid w:val="A1FF6572"/>
    <w:rsid w:val="A346D97E"/>
    <w:rsid w:val="A37DE3E3"/>
    <w:rsid w:val="A4EEAD74"/>
    <w:rsid w:val="A56BCB03"/>
    <w:rsid w:val="A5F79205"/>
    <w:rsid w:val="A6B6269D"/>
    <w:rsid w:val="A6B7AECD"/>
    <w:rsid w:val="A79A313B"/>
    <w:rsid w:val="A7AF6399"/>
    <w:rsid w:val="A7AFC54F"/>
    <w:rsid w:val="A7EF2544"/>
    <w:rsid w:val="A7F9306D"/>
    <w:rsid w:val="A7FDB26E"/>
    <w:rsid w:val="AB679146"/>
    <w:rsid w:val="AB7FF6D4"/>
    <w:rsid w:val="ABEEA7CA"/>
    <w:rsid w:val="ABFFD812"/>
    <w:rsid w:val="ACA9D263"/>
    <w:rsid w:val="ACFB59A2"/>
    <w:rsid w:val="ADC69261"/>
    <w:rsid w:val="ADD6140B"/>
    <w:rsid w:val="ADF09C17"/>
    <w:rsid w:val="ADFF9AA0"/>
    <w:rsid w:val="AE6E2DF0"/>
    <w:rsid w:val="AE6F7E37"/>
    <w:rsid w:val="AE8D1FFA"/>
    <w:rsid w:val="AECFFA23"/>
    <w:rsid w:val="AEDE518F"/>
    <w:rsid w:val="AEEFCF38"/>
    <w:rsid w:val="AEFED43D"/>
    <w:rsid w:val="AEFF3549"/>
    <w:rsid w:val="AF338219"/>
    <w:rsid w:val="AF69C701"/>
    <w:rsid w:val="AFB787C2"/>
    <w:rsid w:val="AFC0DFDF"/>
    <w:rsid w:val="AFDEDD44"/>
    <w:rsid w:val="AFDF0CE8"/>
    <w:rsid w:val="AFE95D1E"/>
    <w:rsid w:val="AFEB0E25"/>
    <w:rsid w:val="AFEB4572"/>
    <w:rsid w:val="AFED0B2A"/>
    <w:rsid w:val="AFEE200A"/>
    <w:rsid w:val="AFF74EB3"/>
    <w:rsid w:val="AFFD76E2"/>
    <w:rsid w:val="AFFD81C8"/>
    <w:rsid w:val="AFFF2216"/>
    <w:rsid w:val="AFFF31C9"/>
    <w:rsid w:val="AFFF4872"/>
    <w:rsid w:val="B1ED7194"/>
    <w:rsid w:val="B1F64924"/>
    <w:rsid w:val="B1FF711F"/>
    <w:rsid w:val="B2DACFC6"/>
    <w:rsid w:val="B2FFED19"/>
    <w:rsid w:val="B3168800"/>
    <w:rsid w:val="B37EA82C"/>
    <w:rsid w:val="B3BCEB55"/>
    <w:rsid w:val="B3BFB1F0"/>
    <w:rsid w:val="B3BFB8F9"/>
    <w:rsid w:val="B3DB8417"/>
    <w:rsid w:val="B3EC6D36"/>
    <w:rsid w:val="B3FF15FF"/>
    <w:rsid w:val="B47F2F40"/>
    <w:rsid w:val="B4F605CD"/>
    <w:rsid w:val="B5EF371E"/>
    <w:rsid w:val="B5F94D19"/>
    <w:rsid w:val="B5FB260A"/>
    <w:rsid w:val="B5FD1987"/>
    <w:rsid w:val="B6BC12FF"/>
    <w:rsid w:val="B6CF7E3A"/>
    <w:rsid w:val="B6EEA170"/>
    <w:rsid w:val="B6FD7638"/>
    <w:rsid w:val="B7332C78"/>
    <w:rsid w:val="B74FA520"/>
    <w:rsid w:val="B77348A9"/>
    <w:rsid w:val="B776754D"/>
    <w:rsid w:val="B7771B9F"/>
    <w:rsid w:val="B777C751"/>
    <w:rsid w:val="B78B7018"/>
    <w:rsid w:val="B7978BE2"/>
    <w:rsid w:val="B7B569F3"/>
    <w:rsid w:val="B7E1BB64"/>
    <w:rsid w:val="B7E7EFB9"/>
    <w:rsid w:val="B7EFBB41"/>
    <w:rsid w:val="B7F71686"/>
    <w:rsid w:val="B7F95E1D"/>
    <w:rsid w:val="B7FD11D1"/>
    <w:rsid w:val="B7FD58E8"/>
    <w:rsid w:val="B7FF4CEF"/>
    <w:rsid w:val="B7FF78A0"/>
    <w:rsid w:val="B7FFE8C3"/>
    <w:rsid w:val="B97F13BB"/>
    <w:rsid w:val="B9ABAD1B"/>
    <w:rsid w:val="B9DDCCD7"/>
    <w:rsid w:val="B9DDD31A"/>
    <w:rsid w:val="B9DF911F"/>
    <w:rsid w:val="B9F11C0E"/>
    <w:rsid w:val="B9F38AAA"/>
    <w:rsid w:val="B9F70E6B"/>
    <w:rsid w:val="B9FB553A"/>
    <w:rsid w:val="B9FBBB40"/>
    <w:rsid w:val="B9FC8019"/>
    <w:rsid w:val="B9FF0D01"/>
    <w:rsid w:val="B9FFDFBC"/>
    <w:rsid w:val="BAB7FAAD"/>
    <w:rsid w:val="BAFF44E7"/>
    <w:rsid w:val="BBAB332C"/>
    <w:rsid w:val="BBAFC44A"/>
    <w:rsid w:val="BBB35ABE"/>
    <w:rsid w:val="BBDB943C"/>
    <w:rsid w:val="BBDFB652"/>
    <w:rsid w:val="BBE34A86"/>
    <w:rsid w:val="BBE58808"/>
    <w:rsid w:val="BBF3A513"/>
    <w:rsid w:val="BBF67215"/>
    <w:rsid w:val="BBFBC2DE"/>
    <w:rsid w:val="BBFC8374"/>
    <w:rsid w:val="BBFE9773"/>
    <w:rsid w:val="BBFF6840"/>
    <w:rsid w:val="BBFFB7F6"/>
    <w:rsid w:val="BCEB1B50"/>
    <w:rsid w:val="BCFDF8C0"/>
    <w:rsid w:val="BD2EF079"/>
    <w:rsid w:val="BD3BDC4F"/>
    <w:rsid w:val="BD5F8C76"/>
    <w:rsid w:val="BD7FBD44"/>
    <w:rsid w:val="BD9D2F0F"/>
    <w:rsid w:val="BD9FC109"/>
    <w:rsid w:val="BDA37855"/>
    <w:rsid w:val="BDBDA75D"/>
    <w:rsid w:val="BDC925B7"/>
    <w:rsid w:val="BDDE9F5C"/>
    <w:rsid w:val="BDEF742B"/>
    <w:rsid w:val="BDF6D5E4"/>
    <w:rsid w:val="BDF6F16D"/>
    <w:rsid w:val="BDFEBBB1"/>
    <w:rsid w:val="BDFF6988"/>
    <w:rsid w:val="BE37DF3A"/>
    <w:rsid w:val="BE3B47F6"/>
    <w:rsid w:val="BE5E31D6"/>
    <w:rsid w:val="BEDAB132"/>
    <w:rsid w:val="BEE74EFF"/>
    <w:rsid w:val="BEEF55EE"/>
    <w:rsid w:val="BEFC1D97"/>
    <w:rsid w:val="BEFEC6AA"/>
    <w:rsid w:val="BF1ED4CB"/>
    <w:rsid w:val="BF2D86A2"/>
    <w:rsid w:val="BF33DC7A"/>
    <w:rsid w:val="BF3B3CC9"/>
    <w:rsid w:val="BF3BA040"/>
    <w:rsid w:val="BF3F80DE"/>
    <w:rsid w:val="BF3FE99C"/>
    <w:rsid w:val="BF6F4CA1"/>
    <w:rsid w:val="BF6FEB54"/>
    <w:rsid w:val="BF774BAF"/>
    <w:rsid w:val="BF77A93E"/>
    <w:rsid w:val="BF7BD1A4"/>
    <w:rsid w:val="BF7E0384"/>
    <w:rsid w:val="BF7EA48B"/>
    <w:rsid w:val="BF7F504A"/>
    <w:rsid w:val="BF7FF160"/>
    <w:rsid w:val="BF8E9517"/>
    <w:rsid w:val="BF98B5B1"/>
    <w:rsid w:val="BFAFA728"/>
    <w:rsid w:val="BFB68FF7"/>
    <w:rsid w:val="BFBC0092"/>
    <w:rsid w:val="BFBE1889"/>
    <w:rsid w:val="BFBF0B9A"/>
    <w:rsid w:val="BFBF3B32"/>
    <w:rsid w:val="BFBF5437"/>
    <w:rsid w:val="BFCE5580"/>
    <w:rsid w:val="BFD5042B"/>
    <w:rsid w:val="BFDC7C1E"/>
    <w:rsid w:val="BFDE68FD"/>
    <w:rsid w:val="BFDF8F55"/>
    <w:rsid w:val="BFE56ACA"/>
    <w:rsid w:val="BFE957F8"/>
    <w:rsid w:val="BFEA10B9"/>
    <w:rsid w:val="BFEBD595"/>
    <w:rsid w:val="BFEEA527"/>
    <w:rsid w:val="BFEEE85E"/>
    <w:rsid w:val="BFEF26C8"/>
    <w:rsid w:val="BFF39118"/>
    <w:rsid w:val="BFF74E26"/>
    <w:rsid w:val="BFF76B7D"/>
    <w:rsid w:val="BFFB03CA"/>
    <w:rsid w:val="BFFB86BD"/>
    <w:rsid w:val="BFFD0043"/>
    <w:rsid w:val="BFFD7DB1"/>
    <w:rsid w:val="BFFD937C"/>
    <w:rsid w:val="BFFE729A"/>
    <w:rsid w:val="BFFF47DD"/>
    <w:rsid w:val="BFFF5B90"/>
    <w:rsid w:val="BFFF6754"/>
    <w:rsid w:val="BFFF67AC"/>
    <w:rsid w:val="BFFFC938"/>
    <w:rsid w:val="BFFFEE2D"/>
    <w:rsid w:val="C2EE3327"/>
    <w:rsid w:val="C4FF71D8"/>
    <w:rsid w:val="C5A37B7A"/>
    <w:rsid w:val="C77F297E"/>
    <w:rsid w:val="C7E70F90"/>
    <w:rsid w:val="C7EE0087"/>
    <w:rsid w:val="C7FE5B85"/>
    <w:rsid w:val="C7FF23C9"/>
    <w:rsid w:val="C7FF3880"/>
    <w:rsid w:val="C7FF9B1C"/>
    <w:rsid w:val="C7FFB887"/>
    <w:rsid w:val="CB7CCB31"/>
    <w:rsid w:val="CBFF1424"/>
    <w:rsid w:val="CCFFCAA6"/>
    <w:rsid w:val="CD3FF332"/>
    <w:rsid w:val="CDF75181"/>
    <w:rsid w:val="CDFDCBC8"/>
    <w:rsid w:val="CDFF9E9E"/>
    <w:rsid w:val="CE690193"/>
    <w:rsid w:val="CE6BEFFD"/>
    <w:rsid w:val="CE6FEFD4"/>
    <w:rsid w:val="CED925E7"/>
    <w:rsid w:val="CEDECB4A"/>
    <w:rsid w:val="CEFC1495"/>
    <w:rsid w:val="CEFF7D39"/>
    <w:rsid w:val="CF3EAA09"/>
    <w:rsid w:val="CF640E5D"/>
    <w:rsid w:val="CF77EA86"/>
    <w:rsid w:val="CF9C6F1E"/>
    <w:rsid w:val="CFB76774"/>
    <w:rsid w:val="CFBFA4C2"/>
    <w:rsid w:val="CFDB317C"/>
    <w:rsid w:val="CFE45B42"/>
    <w:rsid w:val="CFEDF223"/>
    <w:rsid w:val="CFEFDB3F"/>
    <w:rsid w:val="CFF1C806"/>
    <w:rsid w:val="CFF661D4"/>
    <w:rsid w:val="CFF76EC7"/>
    <w:rsid w:val="CFFBAB7F"/>
    <w:rsid w:val="CFFE278F"/>
    <w:rsid w:val="D0CFC10C"/>
    <w:rsid w:val="D0FE8873"/>
    <w:rsid w:val="D1FF5EC0"/>
    <w:rsid w:val="D227F724"/>
    <w:rsid w:val="D2EF5C11"/>
    <w:rsid w:val="D2FADA4A"/>
    <w:rsid w:val="D2FE92B4"/>
    <w:rsid w:val="D2FFC640"/>
    <w:rsid w:val="D33FF575"/>
    <w:rsid w:val="D39F0DA0"/>
    <w:rsid w:val="D3BFAED4"/>
    <w:rsid w:val="D3DB5903"/>
    <w:rsid w:val="D3EFD4E6"/>
    <w:rsid w:val="D5325571"/>
    <w:rsid w:val="D59FEDF7"/>
    <w:rsid w:val="D5B31A38"/>
    <w:rsid w:val="D5DB0D43"/>
    <w:rsid w:val="D5F72D49"/>
    <w:rsid w:val="D5FF9D99"/>
    <w:rsid w:val="D6556621"/>
    <w:rsid w:val="D6F731C9"/>
    <w:rsid w:val="D76DA6A2"/>
    <w:rsid w:val="D777E07B"/>
    <w:rsid w:val="D77B2A1E"/>
    <w:rsid w:val="D77F4B88"/>
    <w:rsid w:val="D77FEF52"/>
    <w:rsid w:val="D77FFA87"/>
    <w:rsid w:val="D797657D"/>
    <w:rsid w:val="D79F3749"/>
    <w:rsid w:val="D7DF0FBB"/>
    <w:rsid w:val="D7E76D5A"/>
    <w:rsid w:val="D7F67B5D"/>
    <w:rsid w:val="D7F6C1F4"/>
    <w:rsid w:val="D7F7C9AA"/>
    <w:rsid w:val="D7F90AF5"/>
    <w:rsid w:val="D7FB359F"/>
    <w:rsid w:val="D7FC30DF"/>
    <w:rsid w:val="D93FD3C3"/>
    <w:rsid w:val="D975EAFB"/>
    <w:rsid w:val="D9BF11E9"/>
    <w:rsid w:val="D9D708EF"/>
    <w:rsid w:val="D9F5B450"/>
    <w:rsid w:val="D9FFC4AC"/>
    <w:rsid w:val="DA6EB891"/>
    <w:rsid w:val="DA7D6600"/>
    <w:rsid w:val="DADFD132"/>
    <w:rsid w:val="DAE24EB9"/>
    <w:rsid w:val="DAFDDEEC"/>
    <w:rsid w:val="DB313EFA"/>
    <w:rsid w:val="DB7F356A"/>
    <w:rsid w:val="DBB77CCA"/>
    <w:rsid w:val="DBD49D81"/>
    <w:rsid w:val="DBDBCC32"/>
    <w:rsid w:val="DBF618F1"/>
    <w:rsid w:val="DBF7D804"/>
    <w:rsid w:val="DBFCCC10"/>
    <w:rsid w:val="DBFDD965"/>
    <w:rsid w:val="DBFF3CFC"/>
    <w:rsid w:val="DBFFF5FA"/>
    <w:rsid w:val="DBFFFA41"/>
    <w:rsid w:val="DC3FAEAC"/>
    <w:rsid w:val="DC5D415B"/>
    <w:rsid w:val="DC7DC7DC"/>
    <w:rsid w:val="DC8D962F"/>
    <w:rsid w:val="DCDB7605"/>
    <w:rsid w:val="DCF9C767"/>
    <w:rsid w:val="DCFB2285"/>
    <w:rsid w:val="DCFB60EA"/>
    <w:rsid w:val="DD350DA8"/>
    <w:rsid w:val="DD6FF04E"/>
    <w:rsid w:val="DD7A2964"/>
    <w:rsid w:val="DD7BCBCC"/>
    <w:rsid w:val="DD7FA80A"/>
    <w:rsid w:val="DDAE27D1"/>
    <w:rsid w:val="DDBA6896"/>
    <w:rsid w:val="DDBCCCCB"/>
    <w:rsid w:val="DDC6740F"/>
    <w:rsid w:val="DDD7887D"/>
    <w:rsid w:val="DDDC329C"/>
    <w:rsid w:val="DDDFD00B"/>
    <w:rsid w:val="DDE336CA"/>
    <w:rsid w:val="DDEFCA2B"/>
    <w:rsid w:val="DDF7E93C"/>
    <w:rsid w:val="DDF940A0"/>
    <w:rsid w:val="DDFF69F1"/>
    <w:rsid w:val="DE1B3EFD"/>
    <w:rsid w:val="DE1F709F"/>
    <w:rsid w:val="DE1F80AD"/>
    <w:rsid w:val="DE7B66C1"/>
    <w:rsid w:val="DE7DC567"/>
    <w:rsid w:val="DE8DB1E5"/>
    <w:rsid w:val="DEBBFC72"/>
    <w:rsid w:val="DEBE852A"/>
    <w:rsid w:val="DED09AB6"/>
    <w:rsid w:val="DEDD303F"/>
    <w:rsid w:val="DEDD615D"/>
    <w:rsid w:val="DEDFE87A"/>
    <w:rsid w:val="DEED9290"/>
    <w:rsid w:val="DEEFE498"/>
    <w:rsid w:val="DEF5C9F4"/>
    <w:rsid w:val="DEF90987"/>
    <w:rsid w:val="DEFA892F"/>
    <w:rsid w:val="DEFE65C2"/>
    <w:rsid w:val="DEFED075"/>
    <w:rsid w:val="DEFF2C20"/>
    <w:rsid w:val="DF0F519E"/>
    <w:rsid w:val="DF1F99EB"/>
    <w:rsid w:val="DF2D99BF"/>
    <w:rsid w:val="DF5DE8FD"/>
    <w:rsid w:val="DF5ECA5B"/>
    <w:rsid w:val="DF5EEE89"/>
    <w:rsid w:val="DF6D71FF"/>
    <w:rsid w:val="DF6FA363"/>
    <w:rsid w:val="DF7B6881"/>
    <w:rsid w:val="DF7F86ED"/>
    <w:rsid w:val="DF7FB91C"/>
    <w:rsid w:val="DF80C7E5"/>
    <w:rsid w:val="DF9E68B6"/>
    <w:rsid w:val="DFAD4637"/>
    <w:rsid w:val="DFB3AFAD"/>
    <w:rsid w:val="DFB3FBEA"/>
    <w:rsid w:val="DFB8C303"/>
    <w:rsid w:val="DFBA3A03"/>
    <w:rsid w:val="DFBB3E83"/>
    <w:rsid w:val="DFBE137E"/>
    <w:rsid w:val="DFBFEFB2"/>
    <w:rsid w:val="DFCF61FB"/>
    <w:rsid w:val="DFD3C6AA"/>
    <w:rsid w:val="DFD5EADB"/>
    <w:rsid w:val="DFDE74CA"/>
    <w:rsid w:val="DFDFE68C"/>
    <w:rsid w:val="DFDFFAB0"/>
    <w:rsid w:val="DFEB64C4"/>
    <w:rsid w:val="DFEE44BE"/>
    <w:rsid w:val="DFEF3794"/>
    <w:rsid w:val="DFEFCF78"/>
    <w:rsid w:val="DFEFE843"/>
    <w:rsid w:val="DFF16927"/>
    <w:rsid w:val="DFF253AE"/>
    <w:rsid w:val="DFF36696"/>
    <w:rsid w:val="DFF70690"/>
    <w:rsid w:val="DFF7528B"/>
    <w:rsid w:val="DFFBB357"/>
    <w:rsid w:val="DFFBB579"/>
    <w:rsid w:val="DFFC9EBC"/>
    <w:rsid w:val="DFFD5389"/>
    <w:rsid w:val="DFFD7262"/>
    <w:rsid w:val="DFFD7C0B"/>
    <w:rsid w:val="DFFF4891"/>
    <w:rsid w:val="DFFF9159"/>
    <w:rsid w:val="DFFFA7D4"/>
    <w:rsid w:val="DFFFF000"/>
    <w:rsid w:val="DFFFF472"/>
    <w:rsid w:val="E1F77BF5"/>
    <w:rsid w:val="E1FB529B"/>
    <w:rsid w:val="E1FD9859"/>
    <w:rsid w:val="E27F71B7"/>
    <w:rsid w:val="E3CD4039"/>
    <w:rsid w:val="E3FB7383"/>
    <w:rsid w:val="E3FD43BA"/>
    <w:rsid w:val="E3FD6B47"/>
    <w:rsid w:val="E3FFC802"/>
    <w:rsid w:val="E45EB98C"/>
    <w:rsid w:val="E4B6046C"/>
    <w:rsid w:val="E4FF69A7"/>
    <w:rsid w:val="E56FDD6C"/>
    <w:rsid w:val="E5BB00DE"/>
    <w:rsid w:val="E5BB3E0A"/>
    <w:rsid w:val="E5F3592D"/>
    <w:rsid w:val="E5FBE54C"/>
    <w:rsid w:val="E5FF9B0D"/>
    <w:rsid w:val="E63FE271"/>
    <w:rsid w:val="E67F5471"/>
    <w:rsid w:val="E6E3F65F"/>
    <w:rsid w:val="E6FF3D51"/>
    <w:rsid w:val="E6FF5CE9"/>
    <w:rsid w:val="E6FFA405"/>
    <w:rsid w:val="E77BA556"/>
    <w:rsid w:val="E79F9C41"/>
    <w:rsid w:val="E7B4D1D3"/>
    <w:rsid w:val="E7BD7B2A"/>
    <w:rsid w:val="E7DB0DA0"/>
    <w:rsid w:val="E7F5AA34"/>
    <w:rsid w:val="E7F65235"/>
    <w:rsid w:val="E7F7B1CA"/>
    <w:rsid w:val="E7FADFB1"/>
    <w:rsid w:val="E7FD27C0"/>
    <w:rsid w:val="E7FD2968"/>
    <w:rsid w:val="E7FE587E"/>
    <w:rsid w:val="E7FF0192"/>
    <w:rsid w:val="E7FF0C15"/>
    <w:rsid w:val="E7FF1EBE"/>
    <w:rsid w:val="E7FFA46B"/>
    <w:rsid w:val="E99E487E"/>
    <w:rsid w:val="E9A6118A"/>
    <w:rsid w:val="E9B9A2F1"/>
    <w:rsid w:val="E9BBB0D2"/>
    <w:rsid w:val="E9F27B49"/>
    <w:rsid w:val="E9F96CC9"/>
    <w:rsid w:val="E9FD34C5"/>
    <w:rsid w:val="E9FE0765"/>
    <w:rsid w:val="EA5F23B1"/>
    <w:rsid w:val="EAAF7688"/>
    <w:rsid w:val="EAFF7263"/>
    <w:rsid w:val="EAFF956A"/>
    <w:rsid w:val="EB5F21F5"/>
    <w:rsid w:val="EB79B313"/>
    <w:rsid w:val="EB7D1524"/>
    <w:rsid w:val="EB7D2DCF"/>
    <w:rsid w:val="EB9FF418"/>
    <w:rsid w:val="EBBFB6B6"/>
    <w:rsid w:val="EBDD542E"/>
    <w:rsid w:val="EBDD85C6"/>
    <w:rsid w:val="EBDD93DF"/>
    <w:rsid w:val="EBF5AFA9"/>
    <w:rsid w:val="EBF9F1C8"/>
    <w:rsid w:val="EBFB4C18"/>
    <w:rsid w:val="EBFF1533"/>
    <w:rsid w:val="EC681018"/>
    <w:rsid w:val="ECD7F897"/>
    <w:rsid w:val="ECEE19E2"/>
    <w:rsid w:val="ECFDE23D"/>
    <w:rsid w:val="ED3C055A"/>
    <w:rsid w:val="ED3D5D9C"/>
    <w:rsid w:val="ED5F8B94"/>
    <w:rsid w:val="ED723120"/>
    <w:rsid w:val="EDB4EDDA"/>
    <w:rsid w:val="EDB53F91"/>
    <w:rsid w:val="EDD63E46"/>
    <w:rsid w:val="EDEA16A3"/>
    <w:rsid w:val="EDEE65B4"/>
    <w:rsid w:val="EDF6E0E1"/>
    <w:rsid w:val="EDF7C161"/>
    <w:rsid w:val="EE7552F8"/>
    <w:rsid w:val="EE765CDA"/>
    <w:rsid w:val="EE979B8B"/>
    <w:rsid w:val="EE9B4178"/>
    <w:rsid w:val="EE9F3EDE"/>
    <w:rsid w:val="EEA9B334"/>
    <w:rsid w:val="EEBFF065"/>
    <w:rsid w:val="EEDD3C13"/>
    <w:rsid w:val="EEDF36D9"/>
    <w:rsid w:val="EEDFEE02"/>
    <w:rsid w:val="EEEF4341"/>
    <w:rsid w:val="EEFD68CF"/>
    <w:rsid w:val="EEFDA11D"/>
    <w:rsid w:val="EEFF44EE"/>
    <w:rsid w:val="EF27DE69"/>
    <w:rsid w:val="EF2FFA5F"/>
    <w:rsid w:val="EF5DBC5C"/>
    <w:rsid w:val="EF73BA3F"/>
    <w:rsid w:val="EF75794B"/>
    <w:rsid w:val="EF79D6D1"/>
    <w:rsid w:val="EF7B122B"/>
    <w:rsid w:val="EF7BD23F"/>
    <w:rsid w:val="EF7E55E8"/>
    <w:rsid w:val="EF7F8B8A"/>
    <w:rsid w:val="EF7FD267"/>
    <w:rsid w:val="EF92B3DF"/>
    <w:rsid w:val="EF9CC1C4"/>
    <w:rsid w:val="EF9F6E0D"/>
    <w:rsid w:val="EFB38C25"/>
    <w:rsid w:val="EFB77140"/>
    <w:rsid w:val="EFBF834F"/>
    <w:rsid w:val="EFC54993"/>
    <w:rsid w:val="EFC86991"/>
    <w:rsid w:val="EFD92ED5"/>
    <w:rsid w:val="EFDB5286"/>
    <w:rsid w:val="EFDBD27F"/>
    <w:rsid w:val="EFDE51F0"/>
    <w:rsid w:val="EFE752F5"/>
    <w:rsid w:val="EFEE99DC"/>
    <w:rsid w:val="EFEF3AB0"/>
    <w:rsid w:val="EFEF9D04"/>
    <w:rsid w:val="EFF36F5F"/>
    <w:rsid w:val="EFFD0015"/>
    <w:rsid w:val="EFFD0764"/>
    <w:rsid w:val="EFFDA772"/>
    <w:rsid w:val="EFFDB4D7"/>
    <w:rsid w:val="EFFDE347"/>
    <w:rsid w:val="EFFE7C82"/>
    <w:rsid w:val="EFFE8FC2"/>
    <w:rsid w:val="EFFEA1FE"/>
    <w:rsid w:val="EFFEB96E"/>
    <w:rsid w:val="EFFF0883"/>
    <w:rsid w:val="EFFF5079"/>
    <w:rsid w:val="EFFF58DB"/>
    <w:rsid w:val="EFFFA67F"/>
    <w:rsid w:val="F0591CD3"/>
    <w:rsid w:val="F05FB82A"/>
    <w:rsid w:val="F073315B"/>
    <w:rsid w:val="F0FF22F5"/>
    <w:rsid w:val="F15B5C37"/>
    <w:rsid w:val="F1EBFF94"/>
    <w:rsid w:val="F1EF8352"/>
    <w:rsid w:val="F1F14855"/>
    <w:rsid w:val="F1F77BBB"/>
    <w:rsid w:val="F1F7C687"/>
    <w:rsid w:val="F1FD2D49"/>
    <w:rsid w:val="F29CE358"/>
    <w:rsid w:val="F2C31772"/>
    <w:rsid w:val="F2E7FEDD"/>
    <w:rsid w:val="F2EB60C8"/>
    <w:rsid w:val="F2FD8718"/>
    <w:rsid w:val="F2FEEDE3"/>
    <w:rsid w:val="F33FE8DA"/>
    <w:rsid w:val="F359F8CB"/>
    <w:rsid w:val="F37492EA"/>
    <w:rsid w:val="F37F3125"/>
    <w:rsid w:val="F3DB27DC"/>
    <w:rsid w:val="F3DBE4C6"/>
    <w:rsid w:val="F3DFD7D7"/>
    <w:rsid w:val="F3E52C9F"/>
    <w:rsid w:val="F3EB637B"/>
    <w:rsid w:val="F3EF7210"/>
    <w:rsid w:val="F3FAF7D7"/>
    <w:rsid w:val="F3FB7D85"/>
    <w:rsid w:val="F3FBD5BC"/>
    <w:rsid w:val="F3FF9F0A"/>
    <w:rsid w:val="F4BF251F"/>
    <w:rsid w:val="F4BF4CBE"/>
    <w:rsid w:val="F4F77F4E"/>
    <w:rsid w:val="F53F52D7"/>
    <w:rsid w:val="F55F6E72"/>
    <w:rsid w:val="F57B0B12"/>
    <w:rsid w:val="F5CFAD68"/>
    <w:rsid w:val="F5DD837C"/>
    <w:rsid w:val="F5DF4E8E"/>
    <w:rsid w:val="F5DFD1A6"/>
    <w:rsid w:val="F5E1F130"/>
    <w:rsid w:val="F5E35FA7"/>
    <w:rsid w:val="F5F1F727"/>
    <w:rsid w:val="F5F38377"/>
    <w:rsid w:val="F5F63FF4"/>
    <w:rsid w:val="F5F642B9"/>
    <w:rsid w:val="F5F7E4D3"/>
    <w:rsid w:val="F5FBE724"/>
    <w:rsid w:val="F5FC4135"/>
    <w:rsid w:val="F5FDB462"/>
    <w:rsid w:val="F5FF91B4"/>
    <w:rsid w:val="F5FFF7E6"/>
    <w:rsid w:val="F63CF73A"/>
    <w:rsid w:val="F6743812"/>
    <w:rsid w:val="F67F5C52"/>
    <w:rsid w:val="F6912555"/>
    <w:rsid w:val="F6B6231E"/>
    <w:rsid w:val="F6C227F6"/>
    <w:rsid w:val="F6D7608F"/>
    <w:rsid w:val="F6E38A8D"/>
    <w:rsid w:val="F6E705D2"/>
    <w:rsid w:val="F6EF57E0"/>
    <w:rsid w:val="F6FDD906"/>
    <w:rsid w:val="F6FFEBC0"/>
    <w:rsid w:val="F76AE138"/>
    <w:rsid w:val="F76CB9BD"/>
    <w:rsid w:val="F76F1863"/>
    <w:rsid w:val="F76F9A08"/>
    <w:rsid w:val="F773B4CB"/>
    <w:rsid w:val="F777244C"/>
    <w:rsid w:val="F7773FAE"/>
    <w:rsid w:val="F77B00D8"/>
    <w:rsid w:val="F77B82C1"/>
    <w:rsid w:val="F77DACD9"/>
    <w:rsid w:val="F77EEE05"/>
    <w:rsid w:val="F77F18EC"/>
    <w:rsid w:val="F77F35BE"/>
    <w:rsid w:val="F77FDA25"/>
    <w:rsid w:val="F79D748C"/>
    <w:rsid w:val="F7A6B90A"/>
    <w:rsid w:val="F7ABE749"/>
    <w:rsid w:val="F7ADBE5B"/>
    <w:rsid w:val="F7AF05A0"/>
    <w:rsid w:val="F7AFA0B9"/>
    <w:rsid w:val="F7B726A9"/>
    <w:rsid w:val="F7B734CC"/>
    <w:rsid w:val="F7B96F75"/>
    <w:rsid w:val="F7BA9245"/>
    <w:rsid w:val="F7BF3C24"/>
    <w:rsid w:val="F7CBE35C"/>
    <w:rsid w:val="F7CCE406"/>
    <w:rsid w:val="F7DB6FB3"/>
    <w:rsid w:val="F7DD94E9"/>
    <w:rsid w:val="F7DE29F3"/>
    <w:rsid w:val="F7DF521E"/>
    <w:rsid w:val="F7EBA120"/>
    <w:rsid w:val="F7ECB91B"/>
    <w:rsid w:val="F7ECF1B1"/>
    <w:rsid w:val="F7ED4D72"/>
    <w:rsid w:val="F7EDF87F"/>
    <w:rsid w:val="F7EE5BAF"/>
    <w:rsid w:val="F7EE813E"/>
    <w:rsid w:val="F7EE97A4"/>
    <w:rsid w:val="F7EE9B44"/>
    <w:rsid w:val="F7EF3CE6"/>
    <w:rsid w:val="F7F6E1AA"/>
    <w:rsid w:val="F7F7169A"/>
    <w:rsid w:val="F7F76A8C"/>
    <w:rsid w:val="F7F7E7F1"/>
    <w:rsid w:val="F7F7F720"/>
    <w:rsid w:val="F7F8B649"/>
    <w:rsid w:val="F7F9692A"/>
    <w:rsid w:val="F7FD40BB"/>
    <w:rsid w:val="F7FDC335"/>
    <w:rsid w:val="F7FEE29B"/>
    <w:rsid w:val="F7FF1602"/>
    <w:rsid w:val="F7FF509D"/>
    <w:rsid w:val="F7FF8B41"/>
    <w:rsid w:val="F7FFD083"/>
    <w:rsid w:val="F81F8343"/>
    <w:rsid w:val="F832E40B"/>
    <w:rsid w:val="F89F5F5A"/>
    <w:rsid w:val="F8BF3D23"/>
    <w:rsid w:val="F8CF05B0"/>
    <w:rsid w:val="F8DE5D48"/>
    <w:rsid w:val="F8F727D2"/>
    <w:rsid w:val="F8FF3FCF"/>
    <w:rsid w:val="F915A474"/>
    <w:rsid w:val="F97748DB"/>
    <w:rsid w:val="F97EF839"/>
    <w:rsid w:val="F98B63B3"/>
    <w:rsid w:val="F98F8992"/>
    <w:rsid w:val="F99EA9FB"/>
    <w:rsid w:val="F9BBDB5B"/>
    <w:rsid w:val="F9E9358C"/>
    <w:rsid w:val="F9EEE440"/>
    <w:rsid w:val="F9FDBD76"/>
    <w:rsid w:val="FA2B7178"/>
    <w:rsid w:val="FA4B3F14"/>
    <w:rsid w:val="FA674F71"/>
    <w:rsid w:val="FA78EC26"/>
    <w:rsid w:val="FA7E6ABE"/>
    <w:rsid w:val="FAB6C909"/>
    <w:rsid w:val="FABB50DE"/>
    <w:rsid w:val="FABF95C9"/>
    <w:rsid w:val="FADF1B1B"/>
    <w:rsid w:val="FADFB2E2"/>
    <w:rsid w:val="FADFD2AD"/>
    <w:rsid w:val="FAEBB35B"/>
    <w:rsid w:val="FAF42080"/>
    <w:rsid w:val="FAF8A0DF"/>
    <w:rsid w:val="FB2D31E7"/>
    <w:rsid w:val="FB2FACDE"/>
    <w:rsid w:val="FB37CE5D"/>
    <w:rsid w:val="FB39DFFF"/>
    <w:rsid w:val="FB3B5B7D"/>
    <w:rsid w:val="FB3D6B96"/>
    <w:rsid w:val="FB538B8F"/>
    <w:rsid w:val="FB5A37A6"/>
    <w:rsid w:val="FB5B56B0"/>
    <w:rsid w:val="FB5FC655"/>
    <w:rsid w:val="FB6714A3"/>
    <w:rsid w:val="FB6D8E54"/>
    <w:rsid w:val="FB6F3357"/>
    <w:rsid w:val="FB734E15"/>
    <w:rsid w:val="FB7AF9BD"/>
    <w:rsid w:val="FB7B7159"/>
    <w:rsid w:val="FB7E3976"/>
    <w:rsid w:val="FB7EF5FD"/>
    <w:rsid w:val="FB7F63D4"/>
    <w:rsid w:val="FB7F6FB8"/>
    <w:rsid w:val="FB7F9706"/>
    <w:rsid w:val="FB7FA4BB"/>
    <w:rsid w:val="FB8FCA13"/>
    <w:rsid w:val="FB9F9050"/>
    <w:rsid w:val="FBB05B28"/>
    <w:rsid w:val="FBB0E544"/>
    <w:rsid w:val="FBB157D7"/>
    <w:rsid w:val="FBB38A27"/>
    <w:rsid w:val="FBB7F3F0"/>
    <w:rsid w:val="FBBB13B1"/>
    <w:rsid w:val="FBBF59CA"/>
    <w:rsid w:val="FBBF9115"/>
    <w:rsid w:val="FBC78C36"/>
    <w:rsid w:val="FBCCA894"/>
    <w:rsid w:val="FBD70267"/>
    <w:rsid w:val="FBD956AA"/>
    <w:rsid w:val="FBDE9989"/>
    <w:rsid w:val="FBDF551B"/>
    <w:rsid w:val="FBDF738C"/>
    <w:rsid w:val="FBDF9BBF"/>
    <w:rsid w:val="FBEB3285"/>
    <w:rsid w:val="FBEBC101"/>
    <w:rsid w:val="FBEF3ED8"/>
    <w:rsid w:val="FBF1C231"/>
    <w:rsid w:val="FBF3D060"/>
    <w:rsid w:val="FBF3DB6A"/>
    <w:rsid w:val="FBF79C21"/>
    <w:rsid w:val="FBF898F3"/>
    <w:rsid w:val="FBF98210"/>
    <w:rsid w:val="FBFBF896"/>
    <w:rsid w:val="FBFC1B75"/>
    <w:rsid w:val="FBFE62E1"/>
    <w:rsid w:val="FBFE72A4"/>
    <w:rsid w:val="FBFE7748"/>
    <w:rsid w:val="FBFF52CC"/>
    <w:rsid w:val="FBFFAAD3"/>
    <w:rsid w:val="FBFFF6EE"/>
    <w:rsid w:val="FC5FE8CB"/>
    <w:rsid w:val="FC6814FA"/>
    <w:rsid w:val="FC7CC397"/>
    <w:rsid w:val="FC8D1139"/>
    <w:rsid w:val="FC8FD1D8"/>
    <w:rsid w:val="FCA950BB"/>
    <w:rsid w:val="FCB53AE1"/>
    <w:rsid w:val="FCBEEFE9"/>
    <w:rsid w:val="FCBFD511"/>
    <w:rsid w:val="FCC9434D"/>
    <w:rsid w:val="FCD60859"/>
    <w:rsid w:val="FCD96996"/>
    <w:rsid w:val="FCDF4B2F"/>
    <w:rsid w:val="FCDFADAC"/>
    <w:rsid w:val="FCDFB3E5"/>
    <w:rsid w:val="FCDFEE22"/>
    <w:rsid w:val="FCE89748"/>
    <w:rsid w:val="FCED64A8"/>
    <w:rsid w:val="FCF74460"/>
    <w:rsid w:val="FCFB7C82"/>
    <w:rsid w:val="FCFE4670"/>
    <w:rsid w:val="FCFE69C0"/>
    <w:rsid w:val="FCFFAC8D"/>
    <w:rsid w:val="FCFFB4FC"/>
    <w:rsid w:val="FD3F68AC"/>
    <w:rsid w:val="FD5EA9E0"/>
    <w:rsid w:val="FD6DE9DF"/>
    <w:rsid w:val="FD6FC305"/>
    <w:rsid w:val="FD7C3674"/>
    <w:rsid w:val="FD7FEF0E"/>
    <w:rsid w:val="FD9FEDE9"/>
    <w:rsid w:val="FDA21891"/>
    <w:rsid w:val="FDA7DE85"/>
    <w:rsid w:val="FDBBC6A3"/>
    <w:rsid w:val="FDBBF7EE"/>
    <w:rsid w:val="FDBD7738"/>
    <w:rsid w:val="FDBF7FED"/>
    <w:rsid w:val="FDBFC7B4"/>
    <w:rsid w:val="FDCD5A80"/>
    <w:rsid w:val="FDD6E51F"/>
    <w:rsid w:val="FDDDE9CD"/>
    <w:rsid w:val="FDDF59F3"/>
    <w:rsid w:val="FDE23827"/>
    <w:rsid w:val="FDE239A1"/>
    <w:rsid w:val="FDEF304D"/>
    <w:rsid w:val="FDEF9E34"/>
    <w:rsid w:val="FDF39B01"/>
    <w:rsid w:val="FDF57F1A"/>
    <w:rsid w:val="FDF7A406"/>
    <w:rsid w:val="FDF7DA82"/>
    <w:rsid w:val="FDF910B7"/>
    <w:rsid w:val="FDFAD49E"/>
    <w:rsid w:val="FDFC3904"/>
    <w:rsid w:val="FDFDC369"/>
    <w:rsid w:val="FDFDF861"/>
    <w:rsid w:val="FDFE3451"/>
    <w:rsid w:val="FDFE3909"/>
    <w:rsid w:val="FDFE3FAA"/>
    <w:rsid w:val="FDFEC2B8"/>
    <w:rsid w:val="FDFED824"/>
    <w:rsid w:val="FDFEF8FE"/>
    <w:rsid w:val="FDFF1EB6"/>
    <w:rsid w:val="FDFF244C"/>
    <w:rsid w:val="FDFF4387"/>
    <w:rsid w:val="FDFF6068"/>
    <w:rsid w:val="FDFF74CA"/>
    <w:rsid w:val="FDFF7941"/>
    <w:rsid w:val="FDFF8E24"/>
    <w:rsid w:val="FE4BDE9E"/>
    <w:rsid w:val="FE5E128C"/>
    <w:rsid w:val="FE5F26E8"/>
    <w:rsid w:val="FE737D1D"/>
    <w:rsid w:val="FE75BB2F"/>
    <w:rsid w:val="FE7B6295"/>
    <w:rsid w:val="FE7FE7BA"/>
    <w:rsid w:val="FE8FF73F"/>
    <w:rsid w:val="FE9BA744"/>
    <w:rsid w:val="FEB7E2F8"/>
    <w:rsid w:val="FEB9DE06"/>
    <w:rsid w:val="FEBB3986"/>
    <w:rsid w:val="FEBB8F2B"/>
    <w:rsid w:val="FEBBAB2C"/>
    <w:rsid w:val="FEBE7192"/>
    <w:rsid w:val="FEC4ECC1"/>
    <w:rsid w:val="FEC7DF4F"/>
    <w:rsid w:val="FECF01BB"/>
    <w:rsid w:val="FED730AF"/>
    <w:rsid w:val="FEDF07E4"/>
    <w:rsid w:val="FEDF5B71"/>
    <w:rsid w:val="FEDF9CA6"/>
    <w:rsid w:val="FEEC0096"/>
    <w:rsid w:val="FEED309E"/>
    <w:rsid w:val="FEED9928"/>
    <w:rsid w:val="FEEF5672"/>
    <w:rsid w:val="FEEF781F"/>
    <w:rsid w:val="FEEF7ABC"/>
    <w:rsid w:val="FEF101A9"/>
    <w:rsid w:val="FEF21FDF"/>
    <w:rsid w:val="FEF929BE"/>
    <w:rsid w:val="FEFA21C5"/>
    <w:rsid w:val="FEFAD20A"/>
    <w:rsid w:val="FEFBA92A"/>
    <w:rsid w:val="FEFC7F1A"/>
    <w:rsid w:val="FEFCDFDD"/>
    <w:rsid w:val="FEFD266C"/>
    <w:rsid w:val="FEFE22F8"/>
    <w:rsid w:val="FEFE8F48"/>
    <w:rsid w:val="FEFEB8E5"/>
    <w:rsid w:val="FEFF33EF"/>
    <w:rsid w:val="FEFF58FA"/>
    <w:rsid w:val="FEFF89C6"/>
    <w:rsid w:val="FEFF8E5C"/>
    <w:rsid w:val="FEFF9576"/>
    <w:rsid w:val="FF24DFBC"/>
    <w:rsid w:val="FF2B9EAD"/>
    <w:rsid w:val="FF2F86F8"/>
    <w:rsid w:val="FF39A642"/>
    <w:rsid w:val="FF3E054A"/>
    <w:rsid w:val="FF3E6642"/>
    <w:rsid w:val="FF3E76BE"/>
    <w:rsid w:val="FF3EC7E3"/>
    <w:rsid w:val="FF505437"/>
    <w:rsid w:val="FF5642B6"/>
    <w:rsid w:val="FF5707E1"/>
    <w:rsid w:val="FF5D9E08"/>
    <w:rsid w:val="FF5E61C9"/>
    <w:rsid w:val="FF5F4BA5"/>
    <w:rsid w:val="FF5FB520"/>
    <w:rsid w:val="FF654D7F"/>
    <w:rsid w:val="FF674FF6"/>
    <w:rsid w:val="FF6B8957"/>
    <w:rsid w:val="FF6DCD9A"/>
    <w:rsid w:val="FF6E223E"/>
    <w:rsid w:val="FF72FA7C"/>
    <w:rsid w:val="FF739DF0"/>
    <w:rsid w:val="FF76C84D"/>
    <w:rsid w:val="FF7B050E"/>
    <w:rsid w:val="FF7BBD5C"/>
    <w:rsid w:val="FF7D138C"/>
    <w:rsid w:val="FF7D2DB3"/>
    <w:rsid w:val="FF7DCC82"/>
    <w:rsid w:val="FF7E13D7"/>
    <w:rsid w:val="FF7E7351"/>
    <w:rsid w:val="FF7F46DF"/>
    <w:rsid w:val="FF7FBE6D"/>
    <w:rsid w:val="FF7FF992"/>
    <w:rsid w:val="FF7FFF52"/>
    <w:rsid w:val="FF86360F"/>
    <w:rsid w:val="FF8C9CD3"/>
    <w:rsid w:val="FF95A5D9"/>
    <w:rsid w:val="FF975037"/>
    <w:rsid w:val="FF9EB4DA"/>
    <w:rsid w:val="FFA7498B"/>
    <w:rsid w:val="FFA9BDE3"/>
    <w:rsid w:val="FFAB5948"/>
    <w:rsid w:val="FFABAE7A"/>
    <w:rsid w:val="FFAEA500"/>
    <w:rsid w:val="FFAF2C50"/>
    <w:rsid w:val="FFAFE4BD"/>
    <w:rsid w:val="FFB6855C"/>
    <w:rsid w:val="FFB7F5DD"/>
    <w:rsid w:val="FFBB1E73"/>
    <w:rsid w:val="FFBB3285"/>
    <w:rsid w:val="FFBB6CAB"/>
    <w:rsid w:val="FFBB926F"/>
    <w:rsid w:val="FFBD6693"/>
    <w:rsid w:val="FFBDC2B7"/>
    <w:rsid w:val="FFBF2CA4"/>
    <w:rsid w:val="FFBF3429"/>
    <w:rsid w:val="FFBF8794"/>
    <w:rsid w:val="FFBF9465"/>
    <w:rsid w:val="FFBFA52A"/>
    <w:rsid w:val="FFBFC424"/>
    <w:rsid w:val="FFC74365"/>
    <w:rsid w:val="FFCD2B0F"/>
    <w:rsid w:val="FFCFBFED"/>
    <w:rsid w:val="FFCFF751"/>
    <w:rsid w:val="FFD39181"/>
    <w:rsid w:val="FFD3F76F"/>
    <w:rsid w:val="FFD76ACB"/>
    <w:rsid w:val="FFDAE271"/>
    <w:rsid w:val="FFDAEC46"/>
    <w:rsid w:val="FFDB6972"/>
    <w:rsid w:val="FFDBB572"/>
    <w:rsid w:val="FFDC417B"/>
    <w:rsid w:val="FFDD773F"/>
    <w:rsid w:val="FFDD83EC"/>
    <w:rsid w:val="FFDDCD41"/>
    <w:rsid w:val="FFDE273E"/>
    <w:rsid w:val="FFDF611F"/>
    <w:rsid w:val="FFDF6522"/>
    <w:rsid w:val="FFE44D55"/>
    <w:rsid w:val="FFE52BDA"/>
    <w:rsid w:val="FFE5CA31"/>
    <w:rsid w:val="FFE5D30D"/>
    <w:rsid w:val="FFE76E0B"/>
    <w:rsid w:val="FFE957DF"/>
    <w:rsid w:val="FFEDB8AA"/>
    <w:rsid w:val="FFEE4AAF"/>
    <w:rsid w:val="FFEE8DAA"/>
    <w:rsid w:val="FFEF09FC"/>
    <w:rsid w:val="FFEF0C5C"/>
    <w:rsid w:val="FFEF0EF9"/>
    <w:rsid w:val="FFEF1846"/>
    <w:rsid w:val="FFEF720F"/>
    <w:rsid w:val="FFEF730A"/>
    <w:rsid w:val="FFEF9838"/>
    <w:rsid w:val="FFEF9F05"/>
    <w:rsid w:val="FFEFD402"/>
    <w:rsid w:val="FFF34B90"/>
    <w:rsid w:val="FFF359A4"/>
    <w:rsid w:val="FFF599AA"/>
    <w:rsid w:val="FFF700CB"/>
    <w:rsid w:val="FFF728F4"/>
    <w:rsid w:val="FFF74E16"/>
    <w:rsid w:val="FFF74FCE"/>
    <w:rsid w:val="FFF764C2"/>
    <w:rsid w:val="FFF7701C"/>
    <w:rsid w:val="FFF788B7"/>
    <w:rsid w:val="FFF7DE79"/>
    <w:rsid w:val="FFF7EAC3"/>
    <w:rsid w:val="FFF92E37"/>
    <w:rsid w:val="FFFA88AE"/>
    <w:rsid w:val="FFFB9560"/>
    <w:rsid w:val="FFFC7EDE"/>
    <w:rsid w:val="FFFC8BFD"/>
    <w:rsid w:val="FFFCBEF1"/>
    <w:rsid w:val="FFFCD433"/>
    <w:rsid w:val="FFFD0D12"/>
    <w:rsid w:val="FFFD6530"/>
    <w:rsid w:val="FFFDC816"/>
    <w:rsid w:val="FFFE5124"/>
    <w:rsid w:val="FFFEAACC"/>
    <w:rsid w:val="FFFF013C"/>
    <w:rsid w:val="FFFF09E5"/>
    <w:rsid w:val="FFFF3DD6"/>
    <w:rsid w:val="FFFF95C2"/>
    <w:rsid w:val="FFFF96BF"/>
    <w:rsid w:val="FFFF9959"/>
    <w:rsid w:val="FFFF99C1"/>
    <w:rsid w:val="FFFFA08D"/>
    <w:rsid w:val="FFFFA199"/>
    <w:rsid w:val="FFFFA99D"/>
    <w:rsid w:val="FFFFBCC9"/>
    <w:rsid w:val="FFFFC2C8"/>
    <w:rsid w:val="FFFFC441"/>
    <w:rsid w:val="FFFFD00D"/>
    <w:rsid w:val="FFFFD87C"/>
    <w:rsid w:val="FFFFDB51"/>
    <w:rsid w:val="FFFFE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link w:val="13"/>
    <w:autoRedefine/>
    <w:qFormat/>
    <w:uiPriority w:val="0"/>
    <w:pPr>
      <w:jc w:val="center"/>
    </w:pPr>
    <w:rPr>
      <w:rFonts w:eastAsia="黑体"/>
      <w:sz w:val="36"/>
    </w:rPr>
  </w:style>
  <w:style w:type="paragraph" w:styleId="3">
    <w:name w:val="Date"/>
    <w:basedOn w:val="1"/>
    <w:next w:val="1"/>
    <w:autoRedefine/>
    <w:qFormat/>
    <w:uiPriority w:val="0"/>
    <w:pPr>
      <w:ind w:left="100" w:leftChars="2500"/>
    </w:pPr>
  </w:style>
  <w:style w:type="paragraph" w:styleId="4">
    <w:name w:val="Balloon Text"/>
    <w:basedOn w:val="1"/>
    <w:autoRedefine/>
    <w:semiHidden/>
    <w:qFormat/>
    <w:uiPriority w:val="0"/>
    <w:rPr>
      <w:sz w:val="18"/>
      <w:szCs w:val="18"/>
    </w:rPr>
  </w:style>
  <w:style w:type="paragraph" w:styleId="5">
    <w:name w:val="footer"/>
    <w:basedOn w:val="1"/>
    <w:link w:val="14"/>
    <w:autoRedefine/>
    <w:qFormat/>
    <w:uiPriority w:val="0"/>
    <w:pPr>
      <w:tabs>
        <w:tab w:val="center" w:pos="4153"/>
        <w:tab w:val="right" w:pos="8306"/>
      </w:tabs>
      <w:snapToGrid w:val="0"/>
      <w:jc w:val="left"/>
    </w:pPr>
    <w:rPr>
      <w:sz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autoRedefine/>
    <w:qFormat/>
    <w:uiPriority w:val="0"/>
    <w:rPr>
      <w:rFonts w:eastAsia="宋体"/>
      <w:sz w:val="24"/>
      <w:szCs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bCs/>
    </w:rPr>
  </w:style>
  <w:style w:type="character" w:styleId="12">
    <w:name w:val="page number"/>
    <w:basedOn w:val="10"/>
    <w:autoRedefine/>
    <w:qFormat/>
    <w:uiPriority w:val="0"/>
  </w:style>
  <w:style w:type="character" w:customStyle="1" w:styleId="13">
    <w:name w:val="正文文本 Char"/>
    <w:basedOn w:val="10"/>
    <w:link w:val="2"/>
    <w:autoRedefine/>
    <w:qFormat/>
    <w:uiPriority w:val="0"/>
    <w:rPr>
      <w:rFonts w:eastAsia="黑体"/>
      <w:kern w:val="2"/>
      <w:sz w:val="36"/>
      <w:lang w:val="en-US" w:eastAsia="zh-CN" w:bidi="ar-SA"/>
    </w:rPr>
  </w:style>
  <w:style w:type="character" w:customStyle="1" w:styleId="14">
    <w:name w:val="Footer Char"/>
    <w:basedOn w:val="10"/>
    <w:link w:val="5"/>
    <w:autoRedefine/>
    <w:qFormat/>
    <w:locked/>
    <w:uiPriority w:val="0"/>
    <w:rPr>
      <w:rFonts w:eastAsia="仿宋_GB2312"/>
      <w:kern w:val="2"/>
      <w:sz w:val="18"/>
      <w:lang w:val="en-US" w:eastAsia="zh-CN" w:bidi="ar-SA"/>
    </w:rPr>
  </w:style>
  <w:style w:type="character" w:customStyle="1" w:styleId="15">
    <w:name w:val="Header Char"/>
    <w:basedOn w:val="10"/>
    <w:link w:val="6"/>
    <w:autoRedefine/>
    <w:semiHidden/>
    <w:qFormat/>
    <w:locked/>
    <w:uiPriority w:val="0"/>
    <w:rPr>
      <w:rFonts w:eastAsia="仿宋_GB2312"/>
      <w:kern w:val="2"/>
      <w:sz w:val="18"/>
      <w:lang w:val="en-US" w:eastAsia="zh-CN" w:bidi="ar-SA"/>
    </w:rPr>
  </w:style>
  <w:style w:type="paragraph" w:customStyle="1" w:styleId="16">
    <w:name w:val="List Paragraph1"/>
    <w:basedOn w:val="1"/>
    <w:autoRedefine/>
    <w:qFormat/>
    <w:uiPriority w:val="0"/>
    <w:pPr>
      <w:ind w:firstLine="420" w:firstLineChars="200"/>
    </w:pPr>
    <w:rPr>
      <w:rFonts w:ascii="Calibri" w:hAnsi="Calibri" w:eastAsia="宋体"/>
      <w:sz w:val="21"/>
      <w:szCs w:val="22"/>
    </w:rPr>
  </w:style>
  <w:style w:type="paragraph" w:customStyle="1" w:styleId="17">
    <w:name w:val="正文样式"/>
    <w:basedOn w:val="7"/>
    <w:autoRedefine/>
    <w:qFormat/>
    <w:uiPriority w:val="0"/>
    <w:pPr>
      <w:spacing w:before="0" w:beforeAutospacing="0" w:after="0" w:afterAutospacing="0" w:line="560" w:lineRule="exact"/>
      <w:ind w:firstLine="640" w:firstLineChars="200"/>
      <w:jc w:val="both"/>
    </w:pPr>
    <w:rPr>
      <w:rFonts w:ascii="Times New Roman" w:hAnsi="Times New Roman" w:eastAsia="仿宋_GB2312" w:cs="Times New Roman"/>
      <w:kern w:val="2"/>
      <w:sz w:val="32"/>
      <w:szCs w:val="32"/>
    </w:rPr>
  </w:style>
  <w:style w:type="character" w:customStyle="1" w:styleId="18">
    <w:name w:val="font01"/>
    <w:basedOn w:val="10"/>
    <w:autoRedefine/>
    <w:qFormat/>
    <w:uiPriority w:val="0"/>
    <w:rPr>
      <w:rFonts w:hint="default" w:ascii="Arial" w:hAnsi="Arial" w:cs="Arial"/>
      <w:color w:val="000000"/>
      <w:sz w:val="20"/>
      <w:szCs w:val="20"/>
      <w:u w:val="none"/>
    </w:rPr>
  </w:style>
  <w:style w:type="character" w:customStyle="1" w:styleId="19">
    <w:name w:val="font6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30</Pages>
  <Words>2971</Words>
  <Characters>3746</Characters>
  <Lines>146</Lines>
  <Paragraphs>41</Paragraphs>
  <TotalTime>21</TotalTime>
  <ScaleCrop>false</ScaleCrop>
  <LinksUpToDate>false</LinksUpToDate>
  <CharactersWithSpaces>3953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2022-02-07T00:27:00Z</dcterms:created>
  <dc:creator>Administrator</dc:creator>
  <cp:lastModifiedBy>冰雪</cp:lastModifiedBy>
  <cp:lastPrinted>2024-03-18T00:46:00Z</cp:lastPrinted>
  <dcterms:modified xsi:type="dcterms:W3CDTF">2025-03-07T03:01:21Z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4DF9FAA5FA4B457CA2CD432812E8E897_13</vt:lpwstr>
  </property>
  <property fmtid="{D5CDD505-2E9C-101B-9397-08002B2CF9AE}" pid="4" name="KSOTemplateDocerSaveRecord">
    <vt:lpwstr>eyJoZGlkIjoiODY3MTI5YWFiMTk5Y2YyNWIyYWRkN2UxZjliNmQyYzkiLCJ1c2VySWQiOiIxMTM3NjQ0Nzk1In0=</vt:lpwstr>
  </property>
</Properties>
</file>