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FFB07">
      <w:pPr>
        <w:jc w:val="center"/>
        <w:rPr>
          <w:rFonts w:hint="eastAsia" w:ascii="宋体" w:hAnsi="宋体"/>
          <w:b/>
          <w:color w:val="auto"/>
          <w:sz w:val="36"/>
          <w:szCs w:val="36"/>
        </w:rPr>
      </w:pPr>
      <w:r>
        <w:rPr>
          <w:rFonts w:hint="eastAsia" w:ascii="宋体" w:hAnsi="宋体"/>
          <w:b/>
          <w:color w:val="auto"/>
          <w:sz w:val="36"/>
          <w:szCs w:val="36"/>
          <w:lang w:eastAsia="zh-CN"/>
        </w:rPr>
        <w:t>黄山市人大常委会办公室（本级）202</w:t>
      </w:r>
      <w:r>
        <w:rPr>
          <w:rFonts w:hint="eastAsia" w:ascii="宋体" w:hAnsi="宋体"/>
          <w:b/>
          <w:color w:val="auto"/>
          <w:sz w:val="36"/>
          <w:szCs w:val="36"/>
          <w:lang w:val="en-US" w:eastAsia="zh-CN"/>
        </w:rPr>
        <w:t>4</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14:paraId="3F4C7D2D">
      <w:pPr>
        <w:jc w:val="left"/>
        <w:rPr>
          <w:rFonts w:hint="eastAsia" w:ascii="黑体" w:hAnsi="黑体" w:eastAsia="黑体"/>
          <w:color w:val="auto"/>
          <w:szCs w:val="32"/>
        </w:rPr>
      </w:pPr>
    </w:p>
    <w:p w14:paraId="3653EF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hint="eastAsia" w:ascii="黑体" w:hAnsi="黑体" w:eastAsia="黑体"/>
          <w:color w:val="auto"/>
          <w:szCs w:val="32"/>
        </w:rPr>
        <w:t>年度一般公共预算财政拨款“三公”经费支出决算表</w:t>
      </w:r>
    </w:p>
    <w:tbl>
      <w:tblPr>
        <w:tblStyle w:val="5"/>
        <w:tblW w:w="5790" w:type="pct"/>
        <w:tblInd w:w="-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990"/>
        <w:gridCol w:w="570"/>
        <w:gridCol w:w="1155"/>
        <w:gridCol w:w="1230"/>
        <w:gridCol w:w="780"/>
        <w:gridCol w:w="735"/>
        <w:gridCol w:w="930"/>
        <w:gridCol w:w="555"/>
        <w:gridCol w:w="915"/>
        <w:gridCol w:w="1143"/>
        <w:gridCol w:w="897"/>
      </w:tblGrid>
      <w:tr w14:paraId="7E15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noWrap/>
            <w:vAlign w:val="center"/>
          </w:tcPr>
          <w:p w14:paraId="67874576">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48ED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tcBorders>
              <w:top w:val="nil"/>
              <w:left w:val="nil"/>
              <w:bottom w:val="nil"/>
              <w:right w:val="nil"/>
            </w:tcBorders>
            <w:shd w:val="clear" w:color="auto" w:fill="auto"/>
            <w:noWrap/>
            <w:vAlign w:val="center"/>
          </w:tcPr>
          <w:p w14:paraId="71141F6C">
            <w:pPr>
              <w:rPr>
                <w:rFonts w:hint="eastAsia" w:ascii="宋体" w:hAnsi="宋体" w:eastAsia="宋体" w:cs="宋体"/>
                <w:i w:val="0"/>
                <w:iCs w:val="0"/>
                <w:color w:val="000000"/>
                <w:sz w:val="22"/>
                <w:szCs w:val="22"/>
                <w:u w:val="none"/>
              </w:rPr>
            </w:pPr>
          </w:p>
        </w:tc>
        <w:tc>
          <w:tcPr>
            <w:tcW w:w="464" w:type="pct"/>
            <w:tcBorders>
              <w:top w:val="nil"/>
              <w:left w:val="nil"/>
              <w:bottom w:val="nil"/>
              <w:right w:val="nil"/>
            </w:tcBorders>
            <w:shd w:val="clear" w:color="auto" w:fill="auto"/>
            <w:noWrap/>
            <w:vAlign w:val="center"/>
          </w:tcPr>
          <w:p w14:paraId="63F5CD07">
            <w:pPr>
              <w:rPr>
                <w:rFonts w:hint="eastAsia" w:ascii="宋体" w:hAnsi="宋体" w:eastAsia="宋体" w:cs="宋体"/>
                <w:i w:val="0"/>
                <w:iCs w:val="0"/>
                <w:color w:val="000000"/>
                <w:sz w:val="22"/>
                <w:szCs w:val="22"/>
                <w:u w:val="none"/>
              </w:rPr>
            </w:pPr>
          </w:p>
        </w:tc>
        <w:tc>
          <w:tcPr>
            <w:tcW w:w="267" w:type="pct"/>
            <w:tcBorders>
              <w:top w:val="nil"/>
              <w:left w:val="nil"/>
              <w:bottom w:val="nil"/>
              <w:right w:val="nil"/>
            </w:tcBorders>
            <w:shd w:val="clear" w:color="auto" w:fill="auto"/>
            <w:noWrap/>
            <w:vAlign w:val="center"/>
          </w:tcPr>
          <w:p w14:paraId="0606D400">
            <w:pPr>
              <w:rPr>
                <w:rFonts w:hint="eastAsia" w:ascii="宋体" w:hAnsi="宋体" w:eastAsia="宋体" w:cs="宋体"/>
                <w:i w:val="0"/>
                <w:iCs w:val="0"/>
                <w:color w:val="000000"/>
                <w:sz w:val="22"/>
                <w:szCs w:val="22"/>
                <w:u w:val="none"/>
              </w:rPr>
            </w:pPr>
          </w:p>
        </w:tc>
        <w:tc>
          <w:tcPr>
            <w:tcW w:w="542" w:type="pct"/>
            <w:tcBorders>
              <w:top w:val="nil"/>
              <w:left w:val="nil"/>
              <w:bottom w:val="nil"/>
              <w:right w:val="nil"/>
            </w:tcBorders>
            <w:shd w:val="clear" w:color="auto" w:fill="auto"/>
            <w:noWrap/>
            <w:vAlign w:val="center"/>
          </w:tcPr>
          <w:p w14:paraId="2D9FE37E">
            <w:pPr>
              <w:rPr>
                <w:rFonts w:hint="eastAsia" w:ascii="宋体" w:hAnsi="宋体" w:eastAsia="宋体" w:cs="宋体"/>
                <w:i w:val="0"/>
                <w:iCs w:val="0"/>
                <w:color w:val="000000"/>
                <w:sz w:val="22"/>
                <w:szCs w:val="22"/>
                <w:u w:val="none"/>
              </w:rPr>
            </w:pPr>
          </w:p>
        </w:tc>
        <w:tc>
          <w:tcPr>
            <w:tcW w:w="577" w:type="pct"/>
            <w:tcBorders>
              <w:top w:val="nil"/>
              <w:left w:val="nil"/>
              <w:bottom w:val="nil"/>
              <w:right w:val="nil"/>
            </w:tcBorders>
            <w:shd w:val="clear" w:color="auto" w:fill="auto"/>
            <w:noWrap/>
            <w:vAlign w:val="center"/>
          </w:tcPr>
          <w:p w14:paraId="127ADE27">
            <w:pPr>
              <w:rPr>
                <w:rFonts w:hint="eastAsia" w:ascii="宋体" w:hAnsi="宋体" w:eastAsia="宋体" w:cs="宋体"/>
                <w:i w:val="0"/>
                <w:iCs w:val="0"/>
                <w:color w:val="000000"/>
                <w:sz w:val="22"/>
                <w:szCs w:val="22"/>
                <w:u w:val="none"/>
              </w:rPr>
            </w:pPr>
          </w:p>
        </w:tc>
        <w:tc>
          <w:tcPr>
            <w:tcW w:w="366" w:type="pct"/>
            <w:tcBorders>
              <w:top w:val="nil"/>
              <w:left w:val="nil"/>
              <w:bottom w:val="nil"/>
              <w:right w:val="nil"/>
            </w:tcBorders>
            <w:shd w:val="clear" w:color="auto" w:fill="auto"/>
            <w:noWrap/>
            <w:vAlign w:val="center"/>
          </w:tcPr>
          <w:p w14:paraId="77F7A669">
            <w:pPr>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14:paraId="19A2E861">
            <w:pPr>
              <w:rPr>
                <w:rFonts w:hint="eastAsia" w:ascii="宋体" w:hAnsi="宋体" w:eastAsia="宋体" w:cs="宋体"/>
                <w:i w:val="0"/>
                <w:iCs w:val="0"/>
                <w:color w:val="000000"/>
                <w:sz w:val="22"/>
                <w:szCs w:val="22"/>
                <w:u w:val="none"/>
              </w:rPr>
            </w:pPr>
          </w:p>
        </w:tc>
        <w:tc>
          <w:tcPr>
            <w:tcW w:w="436" w:type="pct"/>
            <w:tcBorders>
              <w:top w:val="nil"/>
              <w:left w:val="nil"/>
              <w:bottom w:val="nil"/>
              <w:right w:val="nil"/>
            </w:tcBorders>
            <w:shd w:val="clear" w:color="auto" w:fill="auto"/>
            <w:noWrap/>
            <w:vAlign w:val="center"/>
          </w:tcPr>
          <w:p w14:paraId="061055EF">
            <w:pPr>
              <w:rPr>
                <w:rFonts w:hint="eastAsia" w:ascii="宋体" w:hAnsi="宋体" w:eastAsia="宋体" w:cs="宋体"/>
                <w:i w:val="0"/>
                <w:iCs w:val="0"/>
                <w:color w:val="000000"/>
                <w:sz w:val="22"/>
                <w:szCs w:val="22"/>
                <w:u w:val="none"/>
              </w:rPr>
            </w:pPr>
          </w:p>
        </w:tc>
        <w:tc>
          <w:tcPr>
            <w:tcW w:w="260" w:type="pct"/>
            <w:tcBorders>
              <w:top w:val="nil"/>
              <w:left w:val="nil"/>
              <w:bottom w:val="nil"/>
              <w:right w:val="nil"/>
            </w:tcBorders>
            <w:shd w:val="clear" w:color="auto" w:fill="auto"/>
            <w:noWrap/>
            <w:vAlign w:val="center"/>
          </w:tcPr>
          <w:p w14:paraId="4B2B5B62">
            <w:pPr>
              <w:rPr>
                <w:rFonts w:hint="eastAsia" w:ascii="宋体" w:hAnsi="宋体" w:eastAsia="宋体" w:cs="宋体"/>
                <w:i w:val="0"/>
                <w:iCs w:val="0"/>
                <w:color w:val="000000"/>
                <w:sz w:val="22"/>
                <w:szCs w:val="22"/>
                <w:u w:val="none"/>
              </w:rPr>
            </w:pPr>
          </w:p>
        </w:tc>
        <w:tc>
          <w:tcPr>
            <w:tcW w:w="429" w:type="pct"/>
            <w:tcBorders>
              <w:top w:val="nil"/>
              <w:left w:val="nil"/>
              <w:bottom w:val="nil"/>
              <w:right w:val="nil"/>
            </w:tcBorders>
            <w:shd w:val="clear" w:color="auto" w:fill="auto"/>
            <w:noWrap/>
            <w:vAlign w:val="center"/>
          </w:tcPr>
          <w:p w14:paraId="0EE9C5FF">
            <w:pPr>
              <w:rPr>
                <w:rFonts w:hint="eastAsia" w:ascii="宋体" w:hAnsi="宋体" w:eastAsia="宋体" w:cs="宋体"/>
                <w:i w:val="0"/>
                <w:iCs w:val="0"/>
                <w:color w:val="000000"/>
                <w:sz w:val="22"/>
                <w:szCs w:val="22"/>
                <w:u w:val="none"/>
              </w:rPr>
            </w:pPr>
          </w:p>
        </w:tc>
        <w:tc>
          <w:tcPr>
            <w:tcW w:w="957" w:type="pct"/>
            <w:gridSpan w:val="2"/>
            <w:tcBorders>
              <w:top w:val="nil"/>
              <w:left w:val="nil"/>
              <w:bottom w:val="nil"/>
              <w:right w:val="nil"/>
            </w:tcBorders>
            <w:shd w:val="clear" w:color="auto" w:fill="auto"/>
            <w:noWrap/>
            <w:vAlign w:val="center"/>
          </w:tcPr>
          <w:p w14:paraId="0480C10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14:paraId="1CA3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5" w:type="pct"/>
            <w:gridSpan w:val="7"/>
            <w:tcBorders>
              <w:top w:val="nil"/>
              <w:left w:val="nil"/>
              <w:bottom w:val="nil"/>
              <w:right w:val="nil"/>
            </w:tcBorders>
            <w:shd w:val="clear" w:color="auto" w:fill="auto"/>
            <w:noWrap/>
            <w:vAlign w:val="bottom"/>
          </w:tcPr>
          <w:p w14:paraId="2E291C3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部门：黄山市人民代表大会常务委员会办公室(本级)</w:t>
            </w:r>
          </w:p>
        </w:tc>
        <w:tc>
          <w:tcPr>
            <w:tcW w:w="436" w:type="pct"/>
            <w:tcBorders>
              <w:top w:val="nil"/>
              <w:left w:val="nil"/>
              <w:bottom w:val="nil"/>
              <w:right w:val="nil"/>
            </w:tcBorders>
            <w:shd w:val="clear" w:color="auto" w:fill="auto"/>
            <w:noWrap/>
            <w:vAlign w:val="center"/>
          </w:tcPr>
          <w:p w14:paraId="55B97AFA">
            <w:pPr>
              <w:rPr>
                <w:rFonts w:hint="eastAsia" w:ascii="宋体" w:hAnsi="宋体" w:eastAsia="宋体" w:cs="宋体"/>
                <w:i w:val="0"/>
                <w:iCs w:val="0"/>
                <w:color w:val="000000"/>
                <w:sz w:val="22"/>
                <w:szCs w:val="22"/>
                <w:u w:val="none"/>
              </w:rPr>
            </w:pPr>
          </w:p>
        </w:tc>
        <w:tc>
          <w:tcPr>
            <w:tcW w:w="260" w:type="pct"/>
            <w:tcBorders>
              <w:top w:val="nil"/>
              <w:left w:val="nil"/>
              <w:bottom w:val="nil"/>
              <w:right w:val="nil"/>
            </w:tcBorders>
            <w:shd w:val="clear" w:color="auto" w:fill="auto"/>
            <w:noWrap/>
            <w:vAlign w:val="center"/>
          </w:tcPr>
          <w:p w14:paraId="1FF8824E">
            <w:pPr>
              <w:rPr>
                <w:rFonts w:hint="eastAsia" w:ascii="宋体" w:hAnsi="宋体" w:eastAsia="宋体" w:cs="宋体"/>
                <w:i w:val="0"/>
                <w:iCs w:val="0"/>
                <w:color w:val="000000"/>
                <w:sz w:val="22"/>
                <w:szCs w:val="22"/>
                <w:u w:val="none"/>
              </w:rPr>
            </w:pPr>
          </w:p>
        </w:tc>
        <w:tc>
          <w:tcPr>
            <w:tcW w:w="429" w:type="pct"/>
            <w:tcBorders>
              <w:top w:val="nil"/>
              <w:left w:val="nil"/>
              <w:bottom w:val="nil"/>
              <w:right w:val="nil"/>
            </w:tcBorders>
            <w:shd w:val="clear" w:color="auto" w:fill="auto"/>
            <w:noWrap/>
            <w:vAlign w:val="center"/>
          </w:tcPr>
          <w:p w14:paraId="6610B9B1">
            <w:pPr>
              <w:rPr>
                <w:rFonts w:hint="eastAsia" w:ascii="宋体" w:hAnsi="宋体" w:eastAsia="宋体" w:cs="宋体"/>
                <w:i w:val="0"/>
                <w:iCs w:val="0"/>
                <w:color w:val="000000"/>
                <w:sz w:val="22"/>
                <w:szCs w:val="22"/>
                <w:u w:val="none"/>
              </w:rPr>
            </w:pPr>
          </w:p>
        </w:tc>
        <w:tc>
          <w:tcPr>
            <w:tcW w:w="957" w:type="pct"/>
            <w:gridSpan w:val="2"/>
            <w:tcBorders>
              <w:top w:val="nil"/>
              <w:left w:val="nil"/>
              <w:bottom w:val="nil"/>
              <w:right w:val="nil"/>
            </w:tcBorders>
            <w:shd w:val="clear" w:color="auto" w:fill="auto"/>
            <w:noWrap/>
            <w:vAlign w:val="center"/>
          </w:tcPr>
          <w:p w14:paraId="0AFC2E3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4F9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70" w:type="pct"/>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1FC5A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429" w:type="pct"/>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7EBC6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E63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37A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EDEB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国（境）费</w:t>
            </w:r>
          </w:p>
        </w:tc>
        <w:tc>
          <w:tcPr>
            <w:tcW w:w="1387" w:type="pct"/>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53DF5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66"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1D6B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4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8EC5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w:t>
            </w:r>
            <w:bookmarkStart w:id="0" w:name="_GoBack"/>
            <w:bookmarkEnd w:id="0"/>
            <w:r>
              <w:rPr>
                <w:rFonts w:hint="eastAsia" w:ascii="宋体" w:hAnsi="宋体" w:eastAsia="宋体" w:cs="宋体"/>
                <w:i w:val="0"/>
                <w:iCs w:val="0"/>
                <w:color w:val="000000"/>
                <w:kern w:val="0"/>
                <w:sz w:val="22"/>
                <w:szCs w:val="22"/>
                <w:u w:val="none"/>
                <w:lang w:val="en-US" w:eastAsia="zh-CN" w:bidi="ar"/>
              </w:rPr>
              <w:t>计</w:t>
            </w:r>
          </w:p>
        </w:tc>
        <w:tc>
          <w:tcPr>
            <w:tcW w:w="436"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E63A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国（境）费</w:t>
            </w:r>
          </w:p>
        </w:tc>
        <w:tc>
          <w:tcPr>
            <w:tcW w:w="1226" w:type="pct"/>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63CB6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21"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BD5F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46B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6ADA7F5">
            <w:pPr>
              <w:jc w:val="center"/>
              <w:rPr>
                <w:rFonts w:hint="eastAsia" w:ascii="宋体" w:hAnsi="宋体" w:eastAsia="宋体" w:cs="宋体"/>
                <w:i w:val="0"/>
                <w:iCs w:val="0"/>
                <w:color w:val="000000"/>
                <w:sz w:val="22"/>
                <w:szCs w:val="22"/>
                <w:u w:val="none"/>
              </w:rPr>
            </w:pPr>
          </w:p>
        </w:tc>
        <w:tc>
          <w:tcPr>
            <w:tcW w:w="46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1C7EB12">
            <w:pPr>
              <w:jc w:val="center"/>
              <w:rPr>
                <w:rFonts w:hint="eastAsia" w:ascii="宋体" w:hAnsi="宋体" w:eastAsia="宋体" w:cs="宋体"/>
                <w:i w:val="0"/>
                <w:iCs w:val="0"/>
                <w:color w:val="000000"/>
                <w:sz w:val="22"/>
                <w:szCs w:val="22"/>
                <w:u w:val="none"/>
              </w:rPr>
            </w:pPr>
          </w:p>
        </w:tc>
        <w:tc>
          <w:tcPr>
            <w:tcW w:w="26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69DF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4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080C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57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9547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36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D97B23B">
            <w:pPr>
              <w:jc w:val="center"/>
              <w:rPr>
                <w:rFonts w:hint="eastAsia" w:ascii="宋体" w:hAnsi="宋体" w:eastAsia="宋体" w:cs="宋体"/>
                <w:i w:val="0"/>
                <w:iCs w:val="0"/>
                <w:color w:val="000000"/>
                <w:sz w:val="22"/>
                <w:szCs w:val="22"/>
                <w:u w:val="none"/>
              </w:rPr>
            </w:pPr>
          </w:p>
        </w:tc>
        <w:tc>
          <w:tcPr>
            <w:tcW w:w="34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65CFE02">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5B17BF2">
            <w:pPr>
              <w:jc w:val="center"/>
              <w:rPr>
                <w:rFonts w:hint="eastAsia" w:ascii="宋体" w:hAnsi="宋体" w:eastAsia="宋体" w:cs="宋体"/>
                <w:i w:val="0"/>
                <w:iCs w:val="0"/>
                <w:color w:val="000000"/>
                <w:sz w:val="22"/>
                <w:szCs w:val="22"/>
                <w:u w:val="none"/>
              </w:rPr>
            </w:pPr>
          </w:p>
        </w:tc>
        <w:tc>
          <w:tcPr>
            <w:tcW w:w="260"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7EE9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29"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6E7D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536"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19A3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DD9A519">
            <w:pPr>
              <w:jc w:val="center"/>
              <w:rPr>
                <w:rFonts w:hint="eastAsia" w:ascii="宋体" w:hAnsi="宋体" w:eastAsia="宋体" w:cs="宋体"/>
                <w:i w:val="0"/>
                <w:iCs w:val="0"/>
                <w:color w:val="000000"/>
                <w:sz w:val="22"/>
                <w:szCs w:val="22"/>
                <w:u w:val="none"/>
              </w:rPr>
            </w:pPr>
          </w:p>
        </w:tc>
      </w:tr>
      <w:tr w14:paraId="6D2F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B5D4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273E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F7A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06E8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51E8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6"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0A88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5"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82E5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6"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7975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0"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01D5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9"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0D86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6"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F75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1"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E20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FB6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6E3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4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1337ED">
            <w:pPr>
              <w:jc w:val="right"/>
              <w:rPr>
                <w:rFonts w:hint="eastAsia" w:ascii="宋体" w:hAnsi="宋体" w:eastAsia="宋体" w:cs="宋体"/>
                <w:i w:val="0"/>
                <w:iCs w:val="0"/>
                <w:color w:val="000000"/>
                <w:sz w:val="22"/>
                <w:szCs w:val="22"/>
                <w:u w:val="none"/>
              </w:rPr>
            </w:pPr>
          </w:p>
        </w:tc>
        <w:tc>
          <w:tcPr>
            <w:tcW w:w="2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6DFF18">
            <w:pPr>
              <w:jc w:val="right"/>
              <w:rPr>
                <w:rFonts w:hint="eastAsia" w:ascii="宋体" w:hAnsi="宋体" w:eastAsia="宋体" w:cs="宋体"/>
                <w:i w:val="0"/>
                <w:iCs w:val="0"/>
                <w:color w:val="000000"/>
                <w:sz w:val="22"/>
                <w:szCs w:val="22"/>
                <w:u w:val="none"/>
              </w:rPr>
            </w:pPr>
          </w:p>
        </w:tc>
        <w:tc>
          <w:tcPr>
            <w:tcW w:w="54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313F00">
            <w:pPr>
              <w:jc w:val="right"/>
              <w:rPr>
                <w:rFonts w:hint="eastAsia" w:ascii="宋体" w:hAnsi="宋体" w:eastAsia="宋体" w:cs="宋体"/>
                <w:i w:val="0"/>
                <w:iCs w:val="0"/>
                <w:color w:val="000000"/>
                <w:sz w:val="22"/>
                <w:szCs w:val="22"/>
                <w:u w:val="none"/>
              </w:rPr>
            </w:pPr>
          </w:p>
        </w:tc>
        <w:tc>
          <w:tcPr>
            <w:tcW w:w="57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96BAF6">
            <w:pPr>
              <w:jc w:val="right"/>
              <w:rPr>
                <w:rFonts w:hint="eastAsia" w:ascii="宋体" w:hAnsi="宋体" w:eastAsia="宋体" w:cs="宋体"/>
                <w:i w:val="0"/>
                <w:iCs w:val="0"/>
                <w:color w:val="000000"/>
                <w:sz w:val="22"/>
                <w:szCs w:val="22"/>
                <w:u w:val="none"/>
              </w:rPr>
            </w:pPr>
          </w:p>
        </w:tc>
        <w:tc>
          <w:tcPr>
            <w:tcW w:w="3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2A9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34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BC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4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FF8A1B">
            <w:pPr>
              <w:jc w:val="right"/>
              <w:rPr>
                <w:rFonts w:hint="eastAsia" w:ascii="宋体" w:hAnsi="宋体" w:eastAsia="宋体" w:cs="宋体"/>
                <w:i w:val="0"/>
                <w:iCs w:val="0"/>
                <w:color w:val="000000"/>
                <w:sz w:val="22"/>
                <w:szCs w:val="22"/>
                <w:u w:val="none"/>
              </w:rPr>
            </w:pPr>
          </w:p>
        </w:tc>
        <w:tc>
          <w:tcPr>
            <w:tcW w:w="26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6F62B9">
            <w:pPr>
              <w:jc w:val="right"/>
              <w:rPr>
                <w:rFonts w:hint="eastAsia" w:ascii="宋体" w:hAnsi="宋体" w:eastAsia="宋体" w:cs="宋体"/>
                <w:i w:val="0"/>
                <w:iCs w:val="0"/>
                <w:color w:val="000000"/>
                <w:sz w:val="22"/>
                <w:szCs w:val="22"/>
                <w:u w:val="none"/>
              </w:rPr>
            </w:pPr>
          </w:p>
        </w:tc>
        <w:tc>
          <w:tcPr>
            <w:tcW w:w="4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A049E6">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B5A0A2">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B87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r>
    </w:tbl>
    <w:p w14:paraId="23B5147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olor w:val="auto"/>
          <w:szCs w:val="32"/>
          <w:lang w:eastAsia="zh-CN"/>
        </w:rPr>
      </w:pPr>
      <w:r>
        <w:rPr>
          <w:rFonts w:hint="eastAsia" w:ascii="仿宋_GB2312" w:hAnsi="仿宋"/>
          <w:color w:val="auto"/>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p>
    <w:p w14:paraId="59A762C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黑体" w:hAnsi="黑体" w:eastAsia="黑体"/>
          <w:color w:val="auto"/>
          <w:szCs w:val="32"/>
        </w:rPr>
        <w:t xml:space="preserve">                                    </w:t>
      </w:r>
    </w:p>
    <w:p w14:paraId="3C8842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olor w:val="auto"/>
          <w:szCs w:val="32"/>
        </w:rPr>
      </w:pP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14:paraId="434C4C30">
      <w:pPr>
        <w:ind w:firstLine="643"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14:paraId="4E270BD7">
      <w:pPr>
        <w:ind w:firstLine="640" w:firstLineChars="200"/>
        <w:rPr>
          <w:rFonts w:hint="eastAsia" w:ascii="楷体_GB2312" w:hAnsi="仿宋" w:eastAsia="仿宋_GB2312"/>
          <w:color w:val="auto"/>
          <w:szCs w:val="32"/>
          <w:lang w:eastAsia="zh-CN"/>
        </w:rPr>
      </w:pPr>
      <w:r>
        <w:rPr>
          <w:rFonts w:hint="eastAsia" w:ascii="仿宋_GB2312" w:hAnsi="仿宋"/>
          <w:color w:val="auto"/>
          <w:szCs w:val="32"/>
          <w:lang w:eastAsia="zh-CN"/>
        </w:rPr>
        <w:t>黄山市人大常委会办公室（本级）202</w:t>
      </w:r>
      <w:r>
        <w:rPr>
          <w:rFonts w:hint="eastAsia" w:ascii="仿宋_GB2312" w:hAnsi="仿宋"/>
          <w:color w:val="auto"/>
          <w:szCs w:val="32"/>
          <w:lang w:val="en-US" w:eastAsia="zh-CN"/>
        </w:rPr>
        <w:t>4</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8.6</w:t>
      </w:r>
      <w:r>
        <w:rPr>
          <w:rFonts w:hint="eastAsia" w:ascii="仿宋_GB2312" w:hAnsi="仿宋"/>
          <w:color w:val="auto"/>
          <w:szCs w:val="32"/>
        </w:rPr>
        <w:t>万元，支出决算为</w:t>
      </w:r>
      <w:r>
        <w:rPr>
          <w:rFonts w:hint="eastAsia" w:ascii="仿宋_GB2312" w:hAnsi="仿宋"/>
          <w:color w:val="auto"/>
          <w:szCs w:val="32"/>
          <w:lang w:val="en-US" w:eastAsia="zh-CN"/>
        </w:rPr>
        <w:t>0.67</w:t>
      </w:r>
      <w:r>
        <w:rPr>
          <w:rFonts w:hint="eastAsia" w:ascii="仿宋_GB2312" w:hAnsi="仿宋"/>
          <w:color w:val="auto"/>
          <w:szCs w:val="32"/>
        </w:rPr>
        <w:t>万元，完成预算的</w:t>
      </w:r>
      <w:r>
        <w:rPr>
          <w:rFonts w:hint="eastAsia" w:ascii="仿宋_GB2312" w:hAnsi="仿宋"/>
          <w:color w:val="auto"/>
          <w:szCs w:val="32"/>
          <w:lang w:val="en-US" w:eastAsia="zh-CN"/>
        </w:rPr>
        <w:t>7.79</w:t>
      </w:r>
      <w:r>
        <w:rPr>
          <w:rFonts w:hint="eastAsia" w:ascii="仿宋_GB2312" w:hAnsi="仿宋"/>
          <w:color w:val="auto"/>
          <w:szCs w:val="32"/>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0.25</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27.17%。</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sz w:val="30"/>
          <w:szCs w:val="30"/>
          <w:lang w:val="en-US" w:eastAsia="zh-CN"/>
        </w:rPr>
        <w:t>厉行节约，压缩一般开支</w:t>
      </w:r>
      <w:r>
        <w:rPr>
          <w:rFonts w:hint="eastAsia" w:ascii="仿宋_GB2312" w:hAnsi="仿宋"/>
          <w:color w:val="auto"/>
          <w:szCs w:val="32"/>
          <w:u w:val="none"/>
        </w:rPr>
        <w:t>。决算数</w:t>
      </w:r>
      <w:r>
        <w:rPr>
          <w:rFonts w:hint="eastAsia" w:ascii="仿宋_GB2312" w:hAnsi="仿宋"/>
          <w:color w:val="auto"/>
          <w:szCs w:val="32"/>
          <w:u w:val="none"/>
          <w:lang w:eastAsia="zh-CN"/>
        </w:rPr>
        <w:t>较上年减少</w:t>
      </w:r>
      <w:r>
        <w:rPr>
          <w:rFonts w:hint="eastAsia" w:ascii="仿宋_GB2312" w:hAnsi="仿宋"/>
          <w:color w:val="auto"/>
          <w:szCs w:val="32"/>
          <w:u w:val="none"/>
        </w:rPr>
        <w:t>的主要原因是</w:t>
      </w:r>
      <w:r>
        <w:rPr>
          <w:rFonts w:hint="eastAsia" w:ascii="仿宋_GB2312" w:hAnsi="仿宋"/>
          <w:color w:val="auto"/>
          <w:szCs w:val="32"/>
          <w:u w:val="none"/>
          <w:lang w:eastAsia="zh-CN"/>
        </w:rPr>
        <w:t>公务接待量减少。</w:t>
      </w:r>
    </w:p>
    <w:p w14:paraId="5840602A">
      <w:pPr>
        <w:ind w:firstLine="643"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1FABAF84">
      <w:pPr>
        <w:ind w:firstLine="640" w:firstLineChars="200"/>
        <w:rPr>
          <w:rFonts w:hint="eastAsia" w:ascii="仿宋_GB2312" w:hAnsi="仿宋"/>
          <w:color w:val="auto"/>
          <w:szCs w:val="32"/>
        </w:rPr>
      </w:pPr>
      <w:r>
        <w:rPr>
          <w:rFonts w:hint="eastAsia" w:ascii="仿宋_GB2312" w:hAnsi="仿宋"/>
          <w:color w:val="auto"/>
          <w:szCs w:val="32"/>
          <w:lang w:eastAsia="zh-CN"/>
        </w:rPr>
        <w:t>黄山市人大常委会办公室（本级）202</w:t>
      </w:r>
      <w:r>
        <w:rPr>
          <w:rFonts w:hint="eastAsia" w:ascii="仿宋_GB2312" w:hAnsi="仿宋"/>
          <w:color w:val="auto"/>
          <w:szCs w:val="32"/>
          <w:lang w:val="en-US" w:eastAsia="zh-CN"/>
        </w:rPr>
        <w:t>4</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%;公务接待费支出决算</w:t>
      </w:r>
      <w:r>
        <w:rPr>
          <w:rFonts w:hint="eastAsia" w:ascii="仿宋_GB2312" w:hAnsi="仿宋"/>
          <w:color w:val="auto"/>
          <w:szCs w:val="32"/>
          <w:lang w:val="en-US" w:eastAsia="zh-CN"/>
        </w:rPr>
        <w:t>0.67</w:t>
      </w:r>
      <w:r>
        <w:rPr>
          <w:rFonts w:hint="eastAsia" w:ascii="仿宋_GB2312" w:hAnsi="仿宋"/>
          <w:color w:val="auto"/>
          <w:szCs w:val="32"/>
        </w:rPr>
        <w:t>万元，占</w:t>
      </w:r>
      <w:r>
        <w:rPr>
          <w:rFonts w:hint="eastAsia" w:ascii="仿宋_GB2312" w:hAnsi="仿宋"/>
          <w:color w:val="auto"/>
          <w:szCs w:val="32"/>
          <w:lang w:val="en-US" w:eastAsia="zh-CN"/>
        </w:rPr>
        <w:t>100.0</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%。具体情况如下：</w:t>
      </w:r>
    </w:p>
    <w:p w14:paraId="3F21B3D7">
      <w:pPr>
        <w:ind w:firstLine="628"/>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w:t>
      </w:r>
      <w:r>
        <w:rPr>
          <w:rFonts w:hint="eastAsia" w:ascii="仿宋_GB2312" w:hAnsi="仿宋"/>
          <w:color w:val="auto"/>
          <w:szCs w:val="32"/>
          <w:u w:val="none"/>
        </w:rPr>
        <w:t>决算数</w:t>
      </w:r>
      <w:r>
        <w:rPr>
          <w:rFonts w:hint="eastAsia" w:ascii="仿宋_GB2312" w:hAnsi="仿宋"/>
          <w:color w:val="auto"/>
          <w:szCs w:val="32"/>
          <w:u w:val="none"/>
          <w:lang w:eastAsia="zh-CN"/>
        </w:rPr>
        <w:t>等于</w:t>
      </w:r>
      <w:r>
        <w:rPr>
          <w:rFonts w:hint="eastAsia" w:ascii="仿宋_GB2312" w:hAnsi="仿宋"/>
          <w:color w:val="auto"/>
          <w:szCs w:val="32"/>
          <w:u w:val="none"/>
        </w:rPr>
        <w:t>预算数</w:t>
      </w:r>
      <w:r>
        <w:rPr>
          <w:rFonts w:hint="eastAsia" w:ascii="仿宋_GB2312" w:hAnsi="仿宋"/>
          <w:color w:val="auto"/>
          <w:szCs w:val="32"/>
          <w:u w:val="none"/>
          <w:lang w:eastAsia="zh-CN"/>
        </w:rPr>
        <w:t>及上年数</w:t>
      </w:r>
      <w:r>
        <w:rPr>
          <w:rFonts w:hint="eastAsia" w:ascii="仿宋_GB2312" w:hAnsi="仿宋"/>
          <w:color w:val="auto"/>
          <w:szCs w:val="32"/>
          <w:u w:val="none"/>
        </w:rPr>
        <w:t>的主要原因是</w:t>
      </w:r>
      <w:r>
        <w:rPr>
          <w:rFonts w:hint="eastAsia" w:ascii="仿宋_GB2312" w:hAnsi="仿宋"/>
          <w:color w:val="auto"/>
          <w:szCs w:val="32"/>
          <w:u w:val="none"/>
          <w:lang w:eastAsia="zh-CN"/>
        </w:rPr>
        <w:t>单位未安排因公出国（境）任务</w:t>
      </w:r>
      <w:r>
        <w:rPr>
          <w:rFonts w:hint="eastAsia" w:ascii="仿宋_GB2312" w:hAnsi="仿宋"/>
          <w:color w:val="auto"/>
          <w:szCs w:val="32"/>
          <w:u w:val="none"/>
        </w:rPr>
        <w:t>。</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w:t>
      </w:r>
      <w:r>
        <w:rPr>
          <w:rFonts w:hint="eastAsia" w:ascii="仿宋_GB2312" w:hAnsi="仿宋"/>
          <w:color w:val="auto"/>
          <w:szCs w:val="32"/>
          <w:lang w:eastAsia="zh-CN"/>
        </w:rPr>
        <w:t>黄山市人大常委会办公室（本级）</w:t>
      </w:r>
      <w:r>
        <w:rPr>
          <w:rFonts w:hint="eastAsia" w:ascii="仿宋_GB2312" w:hAnsi="仿宋"/>
          <w:color w:val="auto"/>
          <w:szCs w:val="32"/>
        </w:rPr>
        <w:t>因公出国（境）团组</w:t>
      </w:r>
      <w:r>
        <w:rPr>
          <w:rFonts w:hint="eastAsia" w:ascii="仿宋_GB2312" w:hAnsi="仿宋"/>
          <w:color w:val="auto"/>
          <w:szCs w:val="32"/>
          <w:lang w:val="en-US" w:eastAsia="zh-CN"/>
        </w:rPr>
        <w:t>0</w:t>
      </w:r>
      <w:r>
        <w:rPr>
          <w:rFonts w:hint="eastAsia" w:ascii="仿宋_GB2312" w:hAnsi="仿宋"/>
          <w:color w:val="auto"/>
          <w:szCs w:val="32"/>
        </w:rPr>
        <w:t>次，累计出国（境）</w:t>
      </w:r>
      <w:r>
        <w:rPr>
          <w:rFonts w:hint="eastAsia" w:ascii="仿宋_GB2312" w:hAnsi="仿宋"/>
          <w:color w:val="auto"/>
          <w:szCs w:val="32"/>
          <w:lang w:val="en-US" w:eastAsia="zh-CN"/>
        </w:rPr>
        <w:t>0</w:t>
      </w:r>
      <w:r>
        <w:rPr>
          <w:rFonts w:hint="eastAsia" w:ascii="仿宋_GB2312" w:hAnsi="仿宋"/>
          <w:color w:val="auto"/>
          <w:szCs w:val="32"/>
        </w:rPr>
        <w:t>人次。该项经费根据</w:t>
      </w:r>
      <w:r>
        <w:rPr>
          <w:rFonts w:hint="eastAsia" w:ascii="仿宋_GB2312" w:hAnsi="仿宋"/>
          <w:color w:val="auto"/>
          <w:szCs w:val="32"/>
          <w:lang w:eastAsia="zh-CN"/>
        </w:rPr>
        <w:t>市</w:t>
      </w:r>
      <w:r>
        <w:rPr>
          <w:rFonts w:hint="eastAsia" w:ascii="仿宋_GB2312" w:hAnsi="仿宋"/>
          <w:color w:val="auto"/>
          <w:szCs w:val="32"/>
        </w:rPr>
        <w:t>外办批准的因公临时出国（境）计划，按照规定标准安排。经费使用严格按照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p>
    <w:p w14:paraId="7CE6A3A5">
      <w:pPr>
        <w:ind w:firstLine="643"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8.6</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0.67万元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7.79</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0.25</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27.17%。</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sz w:val="30"/>
          <w:szCs w:val="30"/>
          <w:lang w:val="en-US" w:eastAsia="zh-CN"/>
        </w:rPr>
        <w:t>厉行节约，压缩一般开支</w:t>
      </w:r>
      <w:r>
        <w:rPr>
          <w:rFonts w:hint="eastAsia" w:ascii="仿宋_GB2312" w:hAnsi="仿宋"/>
          <w:color w:val="auto"/>
          <w:szCs w:val="32"/>
          <w:u w:val="none"/>
        </w:rPr>
        <w:t>。决算数</w:t>
      </w:r>
      <w:r>
        <w:rPr>
          <w:rFonts w:hint="eastAsia" w:ascii="仿宋_GB2312" w:hAnsi="仿宋"/>
          <w:color w:val="auto"/>
          <w:szCs w:val="32"/>
          <w:u w:val="none"/>
          <w:lang w:eastAsia="zh-CN"/>
        </w:rPr>
        <w:t>较上年减少</w:t>
      </w:r>
      <w:r>
        <w:rPr>
          <w:rFonts w:hint="eastAsia" w:ascii="仿宋_GB2312" w:hAnsi="仿宋"/>
          <w:color w:val="auto"/>
          <w:szCs w:val="32"/>
          <w:u w:val="none"/>
        </w:rPr>
        <w:t>的主要原因是</w:t>
      </w:r>
      <w:r>
        <w:rPr>
          <w:rFonts w:hint="eastAsia" w:ascii="仿宋_GB2312" w:hAnsi="仿宋"/>
          <w:color w:val="auto"/>
          <w:szCs w:val="32"/>
          <w:u w:val="none"/>
          <w:lang w:eastAsia="zh-CN"/>
        </w:rPr>
        <w:t>公务接待量减少。</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w:t>
      </w:r>
      <w:r>
        <w:rPr>
          <w:rFonts w:hint="eastAsia" w:ascii="仿宋_GB2312" w:hAnsi="仿宋"/>
          <w:color w:val="auto"/>
          <w:szCs w:val="32"/>
          <w:lang w:eastAsia="zh-CN"/>
        </w:rPr>
        <w:t>黄山市人大常委会办公室（本级）</w:t>
      </w:r>
      <w:r>
        <w:rPr>
          <w:rFonts w:hint="eastAsia" w:ascii="仿宋_GB2312" w:hAnsi="仿宋"/>
          <w:color w:val="auto"/>
          <w:szCs w:val="32"/>
        </w:rPr>
        <w:t>国内公务接待共</w:t>
      </w:r>
      <w:r>
        <w:rPr>
          <w:rFonts w:hint="eastAsia" w:ascii="仿宋_GB2312" w:hAnsi="仿宋"/>
          <w:color w:val="auto"/>
          <w:szCs w:val="32"/>
          <w:lang w:val="en-US" w:eastAsia="zh-CN"/>
        </w:rPr>
        <w:t>17</w:t>
      </w:r>
      <w:r>
        <w:rPr>
          <w:rFonts w:hint="eastAsia" w:ascii="仿宋_GB2312" w:hAnsi="仿宋"/>
          <w:color w:val="auto"/>
          <w:szCs w:val="32"/>
        </w:rPr>
        <w:t>批次（其中外事接待</w:t>
      </w:r>
      <w:r>
        <w:rPr>
          <w:rFonts w:hint="eastAsia" w:ascii="仿宋_GB2312" w:hAnsi="仿宋"/>
          <w:color w:val="auto"/>
          <w:szCs w:val="32"/>
          <w:lang w:val="en-US" w:eastAsia="zh-CN"/>
        </w:rPr>
        <w:t>0</w:t>
      </w:r>
      <w:r>
        <w:rPr>
          <w:rFonts w:hint="eastAsia" w:ascii="仿宋_GB2312" w:hAnsi="仿宋"/>
          <w:color w:val="auto"/>
          <w:szCs w:val="32"/>
        </w:rPr>
        <w:t>批次），</w:t>
      </w:r>
      <w:r>
        <w:rPr>
          <w:rFonts w:hint="eastAsia" w:ascii="仿宋_GB2312" w:hAnsi="仿宋"/>
          <w:color w:val="auto"/>
          <w:szCs w:val="32"/>
          <w:lang w:val="en-US" w:eastAsia="zh-CN"/>
        </w:rPr>
        <w:t>102</w:t>
      </w:r>
      <w:r>
        <w:rPr>
          <w:rFonts w:hint="eastAsia" w:ascii="仿宋_GB2312" w:hAnsi="仿宋"/>
          <w:color w:val="auto"/>
          <w:szCs w:val="32"/>
        </w:rPr>
        <w:t>人次（其中外事接待</w:t>
      </w:r>
      <w:r>
        <w:rPr>
          <w:rFonts w:hint="eastAsia" w:ascii="仿宋_GB2312" w:hAnsi="仿宋"/>
          <w:color w:val="auto"/>
          <w:szCs w:val="32"/>
          <w:lang w:val="en-US" w:eastAsia="zh-CN"/>
        </w:rPr>
        <w:t>0</w:t>
      </w:r>
      <w:r>
        <w:rPr>
          <w:rFonts w:hint="eastAsia" w:ascii="仿宋_GB2312" w:hAnsi="仿宋"/>
          <w:color w:val="auto"/>
          <w:szCs w:val="32"/>
        </w:rPr>
        <w:t>人次）。主要是用于</w:t>
      </w:r>
      <w:r>
        <w:rPr>
          <w:rFonts w:hint="eastAsia" w:ascii="仿宋_GB2312" w:hAnsi="仿宋"/>
          <w:szCs w:val="32"/>
        </w:rPr>
        <w:t>接待上级来我市视察、执法检查，外地市人大常委会来我市调研等公务活动的支出</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422F5C58">
      <w:pPr>
        <w:ind w:firstLine="643" w:firstLineChars="200"/>
      </w:pPr>
      <w:r>
        <w:rPr>
          <w:rFonts w:hint="eastAsia" w:ascii="仿宋_GB2312" w:hAnsi="仿宋"/>
          <w:b/>
          <w:bCs/>
          <w:color w:val="auto"/>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 xml:space="preserve"> 0万元</w:t>
      </w:r>
      <w:r>
        <w:rPr>
          <w:rFonts w:hint="eastAsia" w:ascii="仿宋_GB2312" w:hAnsi="仿宋"/>
          <w:color w:val="auto"/>
          <w:szCs w:val="32"/>
          <w:lang w:eastAsia="zh-CN"/>
        </w:rPr>
        <w:t>，决算数等于预算数及上年数的主要原因是</w:t>
      </w:r>
      <w:r>
        <w:rPr>
          <w:rFonts w:hint="eastAsia" w:ascii="仿宋_GB2312" w:hAnsi="仿宋"/>
          <w:color w:val="auto"/>
          <w:szCs w:val="32"/>
          <w:lang w:val="en-US" w:eastAsia="zh-CN"/>
        </w:rPr>
        <w:t>2024年</w:t>
      </w:r>
      <w:r>
        <w:rPr>
          <w:rFonts w:hint="eastAsia" w:ascii="仿宋_GB2312" w:hAnsi="仿宋"/>
          <w:color w:val="auto"/>
          <w:szCs w:val="32"/>
          <w:lang w:eastAsia="zh-CN"/>
        </w:rPr>
        <w:t>没有公务用车购置计划，202</w:t>
      </w:r>
      <w:r>
        <w:rPr>
          <w:rFonts w:hint="eastAsia" w:ascii="仿宋_GB2312" w:hAnsi="仿宋"/>
          <w:color w:val="auto"/>
          <w:szCs w:val="32"/>
          <w:lang w:val="en-US" w:eastAsia="zh-CN"/>
        </w:rPr>
        <w:t>4</w:t>
      </w:r>
      <w:r>
        <w:rPr>
          <w:rFonts w:hint="eastAsia" w:ascii="仿宋_GB2312" w:hAnsi="仿宋"/>
          <w:color w:val="auto"/>
          <w:szCs w:val="32"/>
          <w:lang w:eastAsia="zh-CN"/>
        </w:rPr>
        <w:t>年购置公务用车</w:t>
      </w:r>
      <w:r>
        <w:rPr>
          <w:rFonts w:hint="eastAsia" w:ascii="仿宋_GB2312" w:hAnsi="仿宋"/>
          <w:color w:val="auto"/>
          <w:szCs w:val="32"/>
          <w:lang w:val="en-US" w:eastAsia="zh-CN"/>
        </w:rPr>
        <w:t>0</w:t>
      </w:r>
      <w:r>
        <w:rPr>
          <w:rFonts w:hint="eastAsia" w:ascii="仿宋_GB2312" w:hAnsi="仿宋"/>
          <w:color w:val="auto"/>
          <w:szCs w:val="32"/>
          <w:lang w:eastAsia="zh-CN"/>
        </w:rPr>
        <w:t>辆。公务用车运行维护费预算为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，决算数等于预算数及上年数的主要原因是市机关事务管理中心转来的公车运行维护费为非财政拨款，未在一般公共预算公车运行维护中列支</w:t>
      </w:r>
      <w:r>
        <w:rPr>
          <w:rFonts w:hint="eastAsia" w:ascii="仿宋_GB2312" w:hAnsi="仿宋"/>
          <w:color w:val="auto"/>
          <w:szCs w:val="32"/>
          <w:u w:val="none"/>
        </w:rPr>
        <w:t>。</w:t>
      </w:r>
      <w:r>
        <w:rPr>
          <w:rFonts w:hint="eastAsia" w:ascii="仿宋_GB2312" w:hAnsi="仿宋"/>
          <w:color w:val="auto"/>
          <w:szCs w:val="32"/>
        </w:rPr>
        <w:t>公务用车运行维护费，包括车辆燃料费、维修费、过路过桥费、保险费等支出。截至</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年12月31日，</w:t>
      </w:r>
      <w:r>
        <w:rPr>
          <w:rFonts w:hint="eastAsia" w:ascii="仿宋_GB2312" w:hAnsi="仿宋"/>
          <w:color w:val="auto"/>
          <w:szCs w:val="32"/>
          <w:lang w:eastAsia="zh-CN"/>
        </w:rPr>
        <w:t>黄山市人大常委会办公室（本级）</w:t>
      </w:r>
      <w:r>
        <w:rPr>
          <w:rFonts w:hint="eastAsia" w:ascii="仿宋_GB2312" w:hAnsi="仿宋"/>
          <w:color w:val="auto"/>
          <w:szCs w:val="32"/>
        </w:rPr>
        <w:t>开支财政拨款的公务用车保有量为</w:t>
      </w:r>
      <w:r>
        <w:rPr>
          <w:rFonts w:hint="eastAsia" w:ascii="仿宋_GB2312" w:hAnsi="仿宋"/>
          <w:color w:val="auto"/>
          <w:szCs w:val="32"/>
          <w:lang w:val="en-US" w:eastAsia="zh-CN"/>
        </w:rPr>
        <w:t>3</w:t>
      </w:r>
      <w:r>
        <w:rPr>
          <w:rFonts w:hint="eastAsia" w:ascii="仿宋_GB2312" w:hAnsi="仿宋"/>
          <w:color w:val="auto"/>
          <w:szCs w:val="32"/>
        </w:rPr>
        <w:t>辆。</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D8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EC8B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EC8B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TI5YWFiMTk5Y2YyNWIyYWRkN2UxZjliNmQyYzkifQ=="/>
  </w:docVars>
  <w:rsids>
    <w:rsidRoot w:val="00000000"/>
    <w:rsid w:val="03C8672C"/>
    <w:rsid w:val="11CF1753"/>
    <w:rsid w:val="17EF1CBD"/>
    <w:rsid w:val="1DE45F40"/>
    <w:rsid w:val="20E424AA"/>
    <w:rsid w:val="300D4E4E"/>
    <w:rsid w:val="6BE349E2"/>
    <w:rsid w:val="6D1D0072"/>
    <w:rsid w:val="6DB279FC"/>
    <w:rsid w:val="7A3F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1501</Words>
  <Characters>1631</Characters>
  <Lines>0</Lines>
  <Paragraphs>0</Paragraphs>
  <TotalTime>131</TotalTime>
  <ScaleCrop>false</ScaleCrop>
  <LinksUpToDate>false</LinksUpToDate>
  <CharactersWithSpaces>1681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2024-10-09T08:27:00Z</dcterms:created>
  <dc:creator>Administrator</dc:creator>
  <cp:lastModifiedBy>冰雪</cp:lastModifiedBy>
  <dcterms:modified xsi:type="dcterms:W3CDTF">2025-09-22T09:18:27Z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F74D844AC6614726A82A09F204F65E34_12</vt:lpwstr>
  </property>
  <property fmtid="{D5CDD505-2E9C-101B-9397-08002B2CF9AE}" pid="4" name="KSOTemplateDocerSaveRecord">
    <vt:lpwstr>eyJoZGlkIjoiODY3MTI5YWFiMTk5Y2YyNWIyYWRkN2UxZjliNmQyYzkiLCJ1c2VySWQiOiIxMTM3NjQ0Nzk1In0=</vt:lpwstr>
  </property>
</Properties>
</file>