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6BA1">
      <w:pPr>
        <w:jc w:val="center"/>
        <w:rPr>
          <w:rFonts w:hint="eastAsia" w:ascii="宋体" w:hAnsi="宋体"/>
          <w:b/>
          <w:color w:val="auto"/>
          <w:sz w:val="36"/>
          <w:szCs w:val="36"/>
        </w:rPr>
      </w:pPr>
      <w:r>
        <w:rPr>
          <w:rFonts w:hint="eastAsia" w:ascii="宋体" w:hAnsi="宋体"/>
          <w:b/>
          <w:color w:val="auto"/>
          <w:sz w:val="36"/>
          <w:szCs w:val="36"/>
          <w:lang w:eastAsia="zh-CN"/>
        </w:rPr>
        <w:t>黄山市人大预算联网监督中心202</w:t>
      </w:r>
      <w:r>
        <w:rPr>
          <w:rFonts w:hint="eastAsia" w:ascii="宋体" w:hAnsi="宋体"/>
          <w:b/>
          <w:color w:val="auto"/>
          <w:sz w:val="36"/>
          <w:szCs w:val="36"/>
          <w:lang w:val="en-US" w:eastAsia="zh-CN"/>
        </w:rPr>
        <w:t>4</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14:paraId="281CD473">
      <w:pPr>
        <w:jc w:val="center"/>
        <w:rPr>
          <w:rFonts w:hint="eastAsia" w:ascii="楷体_GB2312" w:eastAsia="楷体_GB2312"/>
          <w:color w:val="auto"/>
          <w:szCs w:val="32"/>
        </w:rPr>
      </w:pPr>
    </w:p>
    <w:p w14:paraId="1C40F95D">
      <w:pPr>
        <w:rPr>
          <w:rFonts w:hint="eastAsia" w:ascii="黑体" w:hAnsi="黑体" w:eastAsia="黑体"/>
          <w:color w:val="auto"/>
          <w:szCs w:val="32"/>
        </w:rPr>
      </w:pPr>
      <w:r>
        <w:rPr>
          <w:rFonts w:hint="eastAsia" w:ascii="黑体" w:hAnsi="黑体" w:eastAsia="黑体"/>
          <w:color w:val="auto"/>
          <w:szCs w:val="32"/>
          <w:lang w:val="en-US" w:eastAsia="zh-CN"/>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hint="eastAsia" w:ascii="黑体" w:hAnsi="黑体" w:eastAsia="黑体"/>
          <w:color w:val="auto"/>
          <w:szCs w:val="32"/>
        </w:rPr>
        <w:t>年度一般公共预算财政拨款“三公”经费支出决算表</w:t>
      </w:r>
    </w:p>
    <w:tbl>
      <w:tblPr>
        <w:tblStyle w:val="5"/>
        <w:tblW w:w="5891" w:type="pct"/>
        <w:tblInd w:w="-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910"/>
        <w:gridCol w:w="604"/>
        <w:gridCol w:w="972"/>
        <w:gridCol w:w="990"/>
        <w:gridCol w:w="717"/>
        <w:gridCol w:w="661"/>
        <w:gridCol w:w="876"/>
        <w:gridCol w:w="661"/>
        <w:gridCol w:w="781"/>
        <w:gridCol w:w="1034"/>
        <w:gridCol w:w="1072"/>
      </w:tblGrid>
      <w:tr w14:paraId="79A3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noWrap/>
            <w:vAlign w:val="center"/>
          </w:tcPr>
          <w:p w14:paraId="436CDE3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392E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nil"/>
              <w:left w:val="nil"/>
              <w:bottom w:val="nil"/>
              <w:right w:val="nil"/>
            </w:tcBorders>
            <w:shd w:val="clear" w:color="auto" w:fill="auto"/>
            <w:noWrap/>
            <w:vAlign w:val="center"/>
          </w:tcPr>
          <w:p w14:paraId="3A6F7859">
            <w:pP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color="auto" w:fill="auto"/>
            <w:noWrap/>
            <w:vAlign w:val="center"/>
          </w:tcPr>
          <w:p w14:paraId="2AF63006">
            <w:pPr>
              <w:rPr>
                <w:rFonts w:hint="eastAsia" w:ascii="宋体" w:hAnsi="宋体" w:eastAsia="宋体" w:cs="宋体"/>
                <w:i w:val="0"/>
                <w:iCs w:val="0"/>
                <w:color w:val="000000"/>
                <w:sz w:val="22"/>
                <w:szCs w:val="22"/>
                <w:u w:val="none"/>
              </w:rPr>
            </w:pPr>
          </w:p>
        </w:tc>
        <w:tc>
          <w:tcPr>
            <w:tcW w:w="301" w:type="pct"/>
            <w:tcBorders>
              <w:top w:val="nil"/>
              <w:left w:val="nil"/>
              <w:bottom w:val="nil"/>
              <w:right w:val="nil"/>
            </w:tcBorders>
            <w:shd w:val="clear" w:color="auto" w:fill="auto"/>
            <w:noWrap/>
            <w:vAlign w:val="center"/>
          </w:tcPr>
          <w:p w14:paraId="66CDA591">
            <w:pP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color="auto" w:fill="auto"/>
            <w:noWrap/>
            <w:vAlign w:val="center"/>
          </w:tcPr>
          <w:p w14:paraId="2F5BB10A">
            <w:pPr>
              <w:rPr>
                <w:rFonts w:hint="eastAsia" w:ascii="宋体" w:hAnsi="宋体" w:eastAsia="宋体" w:cs="宋体"/>
                <w:i w:val="0"/>
                <w:iCs w:val="0"/>
                <w:color w:val="000000"/>
                <w:sz w:val="22"/>
                <w:szCs w:val="22"/>
                <w:u w:val="none"/>
              </w:rPr>
            </w:pPr>
          </w:p>
        </w:tc>
        <w:tc>
          <w:tcPr>
            <w:tcW w:w="491" w:type="pct"/>
            <w:tcBorders>
              <w:top w:val="nil"/>
              <w:left w:val="nil"/>
              <w:bottom w:val="nil"/>
              <w:right w:val="nil"/>
            </w:tcBorders>
            <w:shd w:val="clear" w:color="auto" w:fill="auto"/>
            <w:noWrap/>
            <w:vAlign w:val="center"/>
          </w:tcPr>
          <w:p w14:paraId="2CC37BE1">
            <w:pPr>
              <w:rPr>
                <w:rFonts w:hint="eastAsia" w:ascii="宋体" w:hAnsi="宋体" w:eastAsia="宋体" w:cs="宋体"/>
                <w:i w:val="0"/>
                <w:iCs w:val="0"/>
                <w:color w:val="000000"/>
                <w:sz w:val="22"/>
                <w:szCs w:val="22"/>
                <w:u w:val="none"/>
              </w:rPr>
            </w:pPr>
          </w:p>
        </w:tc>
        <w:tc>
          <w:tcPr>
            <w:tcW w:w="357" w:type="pct"/>
            <w:tcBorders>
              <w:top w:val="nil"/>
              <w:left w:val="nil"/>
              <w:bottom w:val="nil"/>
              <w:right w:val="nil"/>
            </w:tcBorders>
            <w:shd w:val="clear" w:color="auto" w:fill="auto"/>
            <w:noWrap/>
            <w:vAlign w:val="center"/>
          </w:tcPr>
          <w:p w14:paraId="5E1D4133">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14:paraId="5AA2DCA7">
            <w:pPr>
              <w:rPr>
                <w:rFonts w:hint="eastAsia" w:ascii="宋体" w:hAnsi="宋体" w:eastAsia="宋体" w:cs="宋体"/>
                <w:i w:val="0"/>
                <w:iCs w:val="0"/>
                <w:color w:val="000000"/>
                <w:sz w:val="22"/>
                <w:szCs w:val="22"/>
                <w:u w:val="none"/>
              </w:rPr>
            </w:pPr>
          </w:p>
        </w:tc>
        <w:tc>
          <w:tcPr>
            <w:tcW w:w="436" w:type="pct"/>
            <w:tcBorders>
              <w:top w:val="nil"/>
              <w:left w:val="nil"/>
              <w:bottom w:val="nil"/>
              <w:right w:val="nil"/>
            </w:tcBorders>
            <w:shd w:val="clear" w:color="auto" w:fill="auto"/>
            <w:noWrap/>
            <w:vAlign w:val="center"/>
          </w:tcPr>
          <w:p w14:paraId="61D6093F">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14:paraId="73B4C898">
            <w:pPr>
              <w:rPr>
                <w:rFonts w:hint="eastAsia" w:ascii="宋体" w:hAnsi="宋体" w:eastAsia="宋体" w:cs="宋体"/>
                <w:i w:val="0"/>
                <w:iCs w:val="0"/>
                <w:color w:val="000000"/>
                <w:sz w:val="22"/>
                <w:szCs w:val="22"/>
                <w:u w:val="none"/>
              </w:rPr>
            </w:pPr>
          </w:p>
        </w:tc>
        <w:tc>
          <w:tcPr>
            <w:tcW w:w="389" w:type="pct"/>
            <w:tcBorders>
              <w:top w:val="nil"/>
              <w:left w:val="nil"/>
              <w:bottom w:val="nil"/>
              <w:right w:val="nil"/>
            </w:tcBorders>
            <w:shd w:val="clear" w:color="auto" w:fill="auto"/>
            <w:noWrap/>
            <w:vAlign w:val="center"/>
          </w:tcPr>
          <w:p w14:paraId="205A4C8F">
            <w:pPr>
              <w:rPr>
                <w:rFonts w:hint="eastAsia" w:ascii="宋体" w:hAnsi="宋体" w:eastAsia="宋体" w:cs="宋体"/>
                <w:i w:val="0"/>
                <w:iCs w:val="0"/>
                <w:color w:val="000000"/>
                <w:sz w:val="22"/>
                <w:szCs w:val="22"/>
                <w:u w:val="none"/>
              </w:rPr>
            </w:pPr>
          </w:p>
        </w:tc>
        <w:tc>
          <w:tcPr>
            <w:tcW w:w="1046" w:type="pct"/>
            <w:gridSpan w:val="2"/>
            <w:tcBorders>
              <w:top w:val="nil"/>
              <w:left w:val="nil"/>
              <w:bottom w:val="nil"/>
              <w:right w:val="nil"/>
            </w:tcBorders>
            <w:shd w:val="clear" w:color="auto" w:fill="auto"/>
            <w:noWrap/>
            <w:vAlign w:val="bottom"/>
          </w:tcPr>
          <w:p w14:paraId="5666C48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14:paraId="68AA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11" w:type="pct"/>
            <w:gridSpan w:val="5"/>
            <w:tcBorders>
              <w:top w:val="nil"/>
              <w:left w:val="nil"/>
              <w:bottom w:val="nil"/>
              <w:right w:val="nil"/>
            </w:tcBorders>
            <w:shd w:val="clear" w:color="auto" w:fill="auto"/>
            <w:noWrap/>
            <w:vAlign w:val="bottom"/>
          </w:tcPr>
          <w:p w14:paraId="5121D5F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部门：黄山市人大预算联网监督中心</w:t>
            </w:r>
          </w:p>
        </w:tc>
        <w:tc>
          <w:tcPr>
            <w:tcW w:w="357" w:type="pct"/>
            <w:tcBorders>
              <w:top w:val="nil"/>
              <w:left w:val="nil"/>
              <w:bottom w:val="nil"/>
              <w:right w:val="nil"/>
            </w:tcBorders>
            <w:shd w:val="clear" w:color="auto" w:fill="auto"/>
            <w:noWrap/>
            <w:vAlign w:val="center"/>
          </w:tcPr>
          <w:p w14:paraId="74C00B02">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14:paraId="1A82F18F">
            <w:pPr>
              <w:rPr>
                <w:rFonts w:hint="eastAsia" w:ascii="宋体" w:hAnsi="宋体" w:eastAsia="宋体" w:cs="宋体"/>
                <w:i w:val="0"/>
                <w:iCs w:val="0"/>
                <w:color w:val="000000"/>
                <w:sz w:val="22"/>
                <w:szCs w:val="22"/>
                <w:u w:val="none"/>
              </w:rPr>
            </w:pPr>
          </w:p>
        </w:tc>
        <w:tc>
          <w:tcPr>
            <w:tcW w:w="436" w:type="pct"/>
            <w:tcBorders>
              <w:top w:val="nil"/>
              <w:left w:val="nil"/>
              <w:bottom w:val="nil"/>
              <w:right w:val="nil"/>
            </w:tcBorders>
            <w:shd w:val="clear" w:color="auto" w:fill="auto"/>
            <w:noWrap/>
            <w:vAlign w:val="center"/>
          </w:tcPr>
          <w:p w14:paraId="36F66CA0">
            <w:pPr>
              <w:rPr>
                <w:rFonts w:hint="eastAsia" w:ascii="宋体" w:hAnsi="宋体" w:eastAsia="宋体" w:cs="宋体"/>
                <w:i w:val="0"/>
                <w:iCs w:val="0"/>
                <w:color w:val="000000"/>
                <w:sz w:val="22"/>
                <w:szCs w:val="22"/>
                <w:u w:val="none"/>
              </w:rPr>
            </w:pPr>
          </w:p>
        </w:tc>
        <w:tc>
          <w:tcPr>
            <w:tcW w:w="329" w:type="pct"/>
            <w:tcBorders>
              <w:top w:val="nil"/>
              <w:left w:val="nil"/>
              <w:bottom w:val="nil"/>
              <w:right w:val="nil"/>
            </w:tcBorders>
            <w:shd w:val="clear" w:color="auto" w:fill="auto"/>
            <w:noWrap/>
            <w:vAlign w:val="center"/>
          </w:tcPr>
          <w:p w14:paraId="27365D0D">
            <w:pPr>
              <w:rPr>
                <w:rFonts w:hint="eastAsia" w:ascii="宋体" w:hAnsi="宋体" w:eastAsia="宋体" w:cs="宋体"/>
                <w:i w:val="0"/>
                <w:iCs w:val="0"/>
                <w:color w:val="000000"/>
                <w:sz w:val="22"/>
                <w:szCs w:val="22"/>
                <w:u w:val="none"/>
              </w:rPr>
            </w:pPr>
          </w:p>
        </w:tc>
        <w:tc>
          <w:tcPr>
            <w:tcW w:w="389" w:type="pct"/>
            <w:tcBorders>
              <w:top w:val="nil"/>
              <w:left w:val="nil"/>
              <w:bottom w:val="nil"/>
              <w:right w:val="nil"/>
            </w:tcBorders>
            <w:shd w:val="clear" w:color="auto" w:fill="auto"/>
            <w:noWrap/>
            <w:vAlign w:val="center"/>
          </w:tcPr>
          <w:p w14:paraId="3A01E93B">
            <w:pPr>
              <w:rPr>
                <w:rFonts w:hint="eastAsia" w:ascii="宋体" w:hAnsi="宋体" w:eastAsia="宋体" w:cs="宋体"/>
                <w:i w:val="0"/>
                <w:iCs w:val="0"/>
                <w:color w:val="000000"/>
                <w:sz w:val="22"/>
                <w:szCs w:val="22"/>
                <w:u w:val="none"/>
              </w:rPr>
            </w:pPr>
          </w:p>
        </w:tc>
        <w:tc>
          <w:tcPr>
            <w:tcW w:w="1046" w:type="pct"/>
            <w:gridSpan w:val="2"/>
            <w:tcBorders>
              <w:top w:val="nil"/>
              <w:left w:val="nil"/>
              <w:bottom w:val="nil"/>
              <w:right w:val="nil"/>
            </w:tcBorders>
            <w:shd w:val="clear" w:color="auto" w:fill="auto"/>
            <w:noWrap/>
            <w:vAlign w:val="bottom"/>
          </w:tcPr>
          <w:p w14:paraId="5908F38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0D4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8" w:type="pct"/>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46DD0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31" w:type="pct"/>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10CD6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4E2D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D975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3"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768E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国（境）费</w:t>
            </w:r>
          </w:p>
        </w:tc>
        <w:tc>
          <w:tcPr>
            <w:tcW w:w="1277" w:type="pct"/>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01304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57"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C312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2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AD41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6"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793A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国（境）费</w:t>
            </w:r>
          </w:p>
        </w:tc>
        <w:tc>
          <w:tcPr>
            <w:tcW w:w="1233" w:type="pct"/>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6157A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531"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E49C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529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0DD6A23">
            <w:pPr>
              <w:jc w:val="center"/>
              <w:rPr>
                <w:rFonts w:hint="eastAsia" w:ascii="宋体" w:hAnsi="宋体" w:eastAsia="宋体" w:cs="宋体"/>
                <w:i w:val="0"/>
                <w:iCs w:val="0"/>
                <w:color w:val="000000"/>
                <w:sz w:val="22"/>
                <w:szCs w:val="22"/>
                <w:u w:val="none"/>
              </w:rPr>
            </w:pPr>
          </w:p>
        </w:tc>
        <w:tc>
          <w:tcPr>
            <w:tcW w:w="453"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9FC5ED2">
            <w:pPr>
              <w:jc w:val="center"/>
              <w:rPr>
                <w:rFonts w:hint="eastAsia" w:ascii="宋体" w:hAnsi="宋体" w:eastAsia="宋体" w:cs="宋体"/>
                <w:i w:val="0"/>
                <w:iCs w:val="0"/>
                <w:color w:val="000000"/>
                <w:sz w:val="22"/>
                <w:szCs w:val="22"/>
                <w:u w:val="none"/>
              </w:rPr>
            </w:pPr>
          </w:p>
        </w:tc>
        <w:tc>
          <w:tcPr>
            <w:tcW w:w="301"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5322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8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A09C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91"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B2E8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3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272F106">
            <w:pPr>
              <w:jc w:val="center"/>
              <w:rPr>
                <w:rFonts w:hint="eastAsia" w:ascii="宋体" w:hAnsi="宋体" w:eastAsia="宋体" w:cs="宋体"/>
                <w:i w:val="0"/>
                <w:iCs w:val="0"/>
                <w:color w:val="000000"/>
                <w:sz w:val="22"/>
                <w:szCs w:val="22"/>
                <w:u w:val="none"/>
              </w:rPr>
            </w:pPr>
          </w:p>
        </w:tc>
        <w:tc>
          <w:tcPr>
            <w:tcW w:w="32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0F801B6">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4E5CE04">
            <w:pPr>
              <w:jc w:val="center"/>
              <w:rPr>
                <w:rFonts w:hint="eastAsia" w:ascii="宋体" w:hAnsi="宋体" w:eastAsia="宋体" w:cs="宋体"/>
                <w:i w:val="0"/>
                <w:iCs w:val="0"/>
                <w:color w:val="000000"/>
                <w:sz w:val="22"/>
                <w:szCs w:val="22"/>
                <w:u w:val="none"/>
              </w:rPr>
            </w:pPr>
          </w:p>
        </w:tc>
        <w:tc>
          <w:tcPr>
            <w:tcW w:w="329"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8A80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89"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CCD8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51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E4B2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531"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4C5BD2F">
            <w:pPr>
              <w:jc w:val="center"/>
              <w:rPr>
                <w:rFonts w:hint="eastAsia" w:ascii="宋体" w:hAnsi="宋体" w:eastAsia="宋体" w:cs="宋体"/>
                <w:i w:val="0"/>
                <w:iCs w:val="0"/>
                <w:color w:val="000000"/>
                <w:sz w:val="22"/>
                <w:szCs w:val="22"/>
                <w:u w:val="none"/>
              </w:rPr>
            </w:pPr>
          </w:p>
        </w:tc>
      </w:tr>
      <w:tr w14:paraId="4F6A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16EA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3"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BB50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1"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4569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333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1"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446E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8DBD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9"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C7FD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6"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0668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9"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1503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89"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50CE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1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0C34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31"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7EC4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782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41365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5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358810">
            <w:pPr>
              <w:jc w:val="right"/>
              <w:rPr>
                <w:rFonts w:hint="eastAsia" w:ascii="宋体" w:hAnsi="宋体" w:eastAsia="宋体" w:cs="宋体"/>
                <w:i w:val="0"/>
                <w:iCs w:val="0"/>
                <w:color w:val="000000"/>
                <w:sz w:val="22"/>
                <w:szCs w:val="22"/>
                <w:u w:val="none"/>
              </w:rPr>
            </w:pPr>
          </w:p>
        </w:tc>
        <w:tc>
          <w:tcPr>
            <w:tcW w:w="30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D4423C">
            <w:pPr>
              <w:jc w:val="right"/>
              <w:rPr>
                <w:rFonts w:hint="eastAsia" w:ascii="宋体" w:hAnsi="宋体" w:eastAsia="宋体" w:cs="宋体"/>
                <w:i w:val="0"/>
                <w:iCs w:val="0"/>
                <w:color w:val="000000"/>
                <w:sz w:val="22"/>
                <w:szCs w:val="22"/>
                <w:u w:val="none"/>
              </w:rPr>
            </w:pPr>
          </w:p>
        </w:tc>
        <w:tc>
          <w:tcPr>
            <w:tcW w:w="48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54B70">
            <w:pPr>
              <w:jc w:val="right"/>
              <w:rPr>
                <w:rFonts w:hint="eastAsia" w:ascii="宋体" w:hAnsi="宋体" w:eastAsia="宋体" w:cs="宋体"/>
                <w:i w:val="0"/>
                <w:iCs w:val="0"/>
                <w:color w:val="000000"/>
                <w:sz w:val="22"/>
                <w:szCs w:val="22"/>
                <w:u w:val="none"/>
              </w:rPr>
            </w:pPr>
          </w:p>
        </w:tc>
        <w:tc>
          <w:tcPr>
            <w:tcW w:w="49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EE11B5">
            <w:pPr>
              <w:jc w:val="right"/>
              <w:rPr>
                <w:rFonts w:hint="eastAsia" w:ascii="宋体" w:hAnsi="宋体" w:eastAsia="宋体" w:cs="宋体"/>
                <w:i w:val="0"/>
                <w:iCs w:val="0"/>
                <w:color w:val="000000"/>
                <w:sz w:val="22"/>
                <w:szCs w:val="22"/>
                <w:u w:val="none"/>
              </w:rPr>
            </w:pPr>
          </w:p>
        </w:tc>
        <w:tc>
          <w:tcPr>
            <w:tcW w:w="3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EF8D0B">
            <w:pPr>
              <w:jc w:val="right"/>
              <w:rPr>
                <w:rFonts w:hint="eastAsia" w:ascii="宋体" w:hAnsi="宋体" w:eastAsia="宋体" w:cs="宋体"/>
                <w:i w:val="0"/>
                <w:iCs w:val="0"/>
                <w:color w:val="000000"/>
                <w:sz w:val="22"/>
                <w:szCs w:val="22"/>
                <w:u w:val="none"/>
              </w:rPr>
            </w:pPr>
          </w:p>
        </w:tc>
        <w:tc>
          <w:tcPr>
            <w:tcW w:w="3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576AD6">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C89FDD">
            <w:pPr>
              <w:jc w:val="right"/>
              <w:rPr>
                <w:rFonts w:hint="eastAsia" w:ascii="宋体" w:hAnsi="宋体" w:eastAsia="宋体" w:cs="宋体"/>
                <w:i w:val="0"/>
                <w:iCs w:val="0"/>
                <w:color w:val="000000"/>
                <w:sz w:val="22"/>
                <w:szCs w:val="22"/>
                <w:u w:val="none"/>
              </w:rPr>
            </w:pPr>
          </w:p>
        </w:tc>
        <w:tc>
          <w:tcPr>
            <w:tcW w:w="3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A5BF14">
            <w:pPr>
              <w:jc w:val="right"/>
              <w:rPr>
                <w:rFonts w:hint="eastAsia" w:ascii="宋体" w:hAnsi="宋体" w:eastAsia="宋体" w:cs="宋体"/>
                <w:i w:val="0"/>
                <w:iCs w:val="0"/>
                <w:color w:val="000000"/>
                <w:sz w:val="22"/>
                <w:szCs w:val="22"/>
                <w:u w:val="none"/>
              </w:rPr>
            </w:pPr>
          </w:p>
        </w:tc>
        <w:tc>
          <w:tcPr>
            <w:tcW w:w="38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CFF7C5">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EF30E5">
            <w:pPr>
              <w:jc w:val="right"/>
              <w:rPr>
                <w:rFonts w:hint="eastAsia" w:ascii="宋体" w:hAnsi="宋体" w:eastAsia="宋体" w:cs="宋体"/>
                <w:i w:val="0"/>
                <w:iCs w:val="0"/>
                <w:color w:val="000000"/>
                <w:sz w:val="22"/>
                <w:szCs w:val="22"/>
                <w:u w:val="none"/>
              </w:rPr>
            </w:pPr>
          </w:p>
        </w:tc>
        <w:tc>
          <w:tcPr>
            <w:tcW w:w="53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C1799D">
            <w:pPr>
              <w:jc w:val="right"/>
              <w:rPr>
                <w:rFonts w:hint="eastAsia" w:ascii="宋体" w:hAnsi="宋体" w:eastAsia="宋体" w:cs="宋体"/>
                <w:i w:val="0"/>
                <w:iCs w:val="0"/>
                <w:color w:val="000000"/>
                <w:sz w:val="22"/>
                <w:szCs w:val="22"/>
                <w:u w:val="none"/>
              </w:rPr>
            </w:pPr>
            <w:bookmarkStart w:id="0" w:name="_GoBack"/>
            <w:bookmarkEnd w:id="0"/>
          </w:p>
        </w:tc>
      </w:tr>
    </w:tbl>
    <w:p w14:paraId="7FAB2A9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14:paraId="46EF414A">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14:paraId="649DDA56">
      <w:pPr>
        <w:ind w:firstLine="643"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14:paraId="4FB40E5E">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黄山市人大预算联网监督中心202</w:t>
      </w:r>
      <w:r>
        <w:rPr>
          <w:rFonts w:hint="eastAsia" w:ascii="仿宋_GB2312" w:hAnsi="仿宋"/>
          <w:color w:val="auto"/>
          <w:szCs w:val="32"/>
          <w:lang w:val="en-US" w:eastAsia="zh-CN"/>
        </w:rPr>
        <w:t>4</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w:t>
      </w:r>
      <w:r>
        <w:rPr>
          <w:rFonts w:hint="eastAsia" w:ascii="仿宋_GB2312" w:hAnsi="仿宋"/>
          <w:color w:val="auto"/>
          <w:szCs w:val="32"/>
          <w:u w:val="none"/>
          <w:lang w:eastAsia="zh-CN"/>
        </w:rPr>
        <w:t>决算数与预算数持平</w:t>
      </w:r>
      <w:r>
        <w:rPr>
          <w:rFonts w:hint="eastAsia" w:ascii="仿宋_GB2312" w:hAnsi="仿宋"/>
          <w:color w:val="auto"/>
          <w:szCs w:val="32"/>
          <w:lang w:eastAsia="zh-CN"/>
        </w:rPr>
        <w:t>。</w:t>
      </w:r>
    </w:p>
    <w:p w14:paraId="2BCF22CA">
      <w:pPr>
        <w:ind w:firstLine="643"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49044C06">
      <w:pPr>
        <w:ind w:firstLine="640" w:firstLineChars="200"/>
        <w:rPr>
          <w:rFonts w:hint="eastAsia" w:ascii="仿宋_GB2312" w:hAnsi="仿宋"/>
          <w:color w:val="auto"/>
          <w:szCs w:val="32"/>
        </w:rPr>
      </w:pPr>
      <w:r>
        <w:rPr>
          <w:rFonts w:hint="eastAsia" w:ascii="仿宋_GB2312" w:hAnsi="仿宋"/>
          <w:color w:val="auto"/>
          <w:szCs w:val="32"/>
          <w:lang w:eastAsia="zh-CN"/>
        </w:rPr>
        <w:t>黄山市人大预算联网监督中心202</w:t>
      </w:r>
      <w:r>
        <w:rPr>
          <w:rFonts w:hint="eastAsia" w:ascii="仿宋_GB2312" w:hAnsi="仿宋"/>
          <w:color w:val="auto"/>
          <w:szCs w:val="32"/>
          <w:lang w:val="en-US" w:eastAsia="zh-CN"/>
        </w:rPr>
        <w:t>4</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%;公务接待费支出决算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%。具体情况如下：</w:t>
      </w:r>
    </w:p>
    <w:p w14:paraId="56E3BCFB">
      <w:pPr>
        <w:ind w:firstLine="628"/>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w:t>
      </w:r>
      <w:r>
        <w:rPr>
          <w:rFonts w:hint="eastAsia" w:ascii="仿宋_GB2312" w:hAnsi="仿宋"/>
          <w:color w:val="auto"/>
          <w:szCs w:val="32"/>
          <w:u w:val="none"/>
          <w:lang w:eastAsia="zh-CN"/>
        </w:rPr>
        <w:t>决算数与预算数持平。</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w:t>
      </w:r>
      <w:r>
        <w:rPr>
          <w:rFonts w:hint="eastAsia" w:ascii="仿宋_GB2312" w:hAnsi="仿宋"/>
          <w:color w:val="auto"/>
          <w:szCs w:val="32"/>
          <w:lang w:eastAsia="zh-CN"/>
        </w:rPr>
        <w:t>黄山市人大预算联网监督中心</w:t>
      </w:r>
      <w:r>
        <w:rPr>
          <w:rFonts w:hint="eastAsia" w:ascii="仿宋_GB2312" w:hAnsi="仿宋"/>
          <w:color w:val="auto"/>
          <w:szCs w:val="32"/>
        </w:rPr>
        <w:t>因公出国（境）团组</w:t>
      </w:r>
      <w:r>
        <w:rPr>
          <w:rFonts w:hint="eastAsia" w:ascii="仿宋_GB2312" w:hAnsi="仿宋"/>
          <w:color w:val="auto"/>
          <w:szCs w:val="32"/>
          <w:lang w:val="en-US" w:eastAsia="zh-CN"/>
        </w:rPr>
        <w:t>0</w:t>
      </w:r>
      <w:r>
        <w:rPr>
          <w:rFonts w:hint="eastAsia" w:ascii="仿宋_GB2312" w:hAnsi="仿宋"/>
          <w:color w:val="auto"/>
          <w:szCs w:val="32"/>
        </w:rPr>
        <w:t>次，累计出国（境）</w:t>
      </w:r>
      <w:r>
        <w:rPr>
          <w:rFonts w:hint="eastAsia" w:ascii="仿宋_GB2312" w:hAnsi="仿宋"/>
          <w:color w:val="auto"/>
          <w:szCs w:val="32"/>
          <w:lang w:val="en-US" w:eastAsia="zh-CN"/>
        </w:rPr>
        <w:t>0</w:t>
      </w:r>
      <w:r>
        <w:rPr>
          <w:rFonts w:hint="eastAsia" w:ascii="仿宋_GB2312" w:hAnsi="仿宋"/>
          <w:color w:val="auto"/>
          <w:szCs w:val="32"/>
        </w:rPr>
        <w:t>人次。</w:t>
      </w:r>
      <w:r>
        <w:rPr>
          <w:rFonts w:hint="eastAsia" w:ascii="仿宋_GB2312" w:hAnsi="仿宋"/>
          <w:color w:val="auto"/>
          <w:szCs w:val="32"/>
          <w:lang w:eastAsia="zh-CN"/>
        </w:rPr>
        <w:t>主要原因是本单位无因公出国（境）业务。</w:t>
      </w:r>
      <w:r>
        <w:rPr>
          <w:rFonts w:hint="eastAsia" w:ascii="仿宋_GB2312" w:hAnsi="仿宋"/>
          <w:color w:val="auto"/>
          <w:szCs w:val="32"/>
        </w:rPr>
        <w:t>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p>
    <w:p w14:paraId="75C74D61">
      <w:pPr>
        <w:ind w:firstLine="643"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w:t>
      </w:r>
      <w:r>
        <w:rPr>
          <w:rFonts w:hint="eastAsia" w:ascii="仿宋_GB2312" w:hAnsi="仿宋"/>
          <w:color w:val="auto"/>
          <w:szCs w:val="32"/>
          <w:u w:val="none"/>
          <w:lang w:eastAsia="zh-CN"/>
        </w:rPr>
        <w:t>决算数与预算数持平。</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w:t>
      </w:r>
      <w:r>
        <w:rPr>
          <w:rFonts w:hint="eastAsia" w:ascii="仿宋_GB2312" w:hAnsi="仿宋"/>
          <w:color w:val="auto"/>
          <w:szCs w:val="32"/>
          <w:lang w:eastAsia="zh-CN"/>
        </w:rPr>
        <w:t>黄山市人大预算联网监督中心</w:t>
      </w:r>
      <w:r>
        <w:rPr>
          <w:rFonts w:hint="eastAsia" w:ascii="仿宋_GB2312" w:hAnsi="仿宋"/>
          <w:color w:val="auto"/>
          <w:szCs w:val="32"/>
        </w:rPr>
        <w:t>国内公务接待共</w:t>
      </w:r>
      <w:r>
        <w:rPr>
          <w:rFonts w:hint="eastAsia" w:ascii="仿宋_GB2312" w:hAnsi="仿宋"/>
          <w:color w:val="auto"/>
          <w:szCs w:val="32"/>
          <w:lang w:val="en-US" w:eastAsia="zh-CN"/>
        </w:rPr>
        <w:t>0</w:t>
      </w:r>
      <w:r>
        <w:rPr>
          <w:rFonts w:hint="eastAsia" w:ascii="仿宋_GB2312" w:hAnsi="仿宋"/>
          <w:color w:val="auto"/>
          <w:szCs w:val="32"/>
        </w:rPr>
        <w:t>批次（其中外事接待</w:t>
      </w:r>
      <w:r>
        <w:rPr>
          <w:rFonts w:hint="eastAsia" w:ascii="仿宋_GB2312" w:hAnsi="仿宋"/>
          <w:color w:val="auto"/>
          <w:szCs w:val="32"/>
          <w:lang w:val="en-US" w:eastAsia="zh-CN"/>
        </w:rPr>
        <w:t>0</w:t>
      </w:r>
      <w:r>
        <w:rPr>
          <w:rFonts w:hint="eastAsia" w:ascii="仿宋_GB2312" w:hAnsi="仿宋"/>
          <w:color w:val="auto"/>
          <w:szCs w:val="32"/>
        </w:rPr>
        <w:t>批次），</w:t>
      </w:r>
      <w:r>
        <w:rPr>
          <w:rFonts w:hint="eastAsia" w:ascii="仿宋_GB2312" w:hAnsi="仿宋"/>
          <w:color w:val="auto"/>
          <w:szCs w:val="32"/>
          <w:lang w:val="en-US" w:eastAsia="zh-CN"/>
        </w:rPr>
        <w:t>0</w:t>
      </w:r>
      <w:r>
        <w:rPr>
          <w:rFonts w:hint="eastAsia" w:ascii="仿宋_GB2312" w:hAnsi="仿宋"/>
          <w:color w:val="auto"/>
          <w:szCs w:val="32"/>
        </w:rPr>
        <w:t>人次（其中外事接待</w:t>
      </w:r>
      <w:r>
        <w:rPr>
          <w:rFonts w:hint="eastAsia" w:ascii="仿宋_GB2312" w:hAnsi="仿宋"/>
          <w:color w:val="auto"/>
          <w:szCs w:val="32"/>
          <w:lang w:val="en-US" w:eastAsia="zh-CN"/>
        </w:rPr>
        <w:t>0</w:t>
      </w:r>
      <w:r>
        <w:rPr>
          <w:rFonts w:hint="eastAsia" w:ascii="仿宋_GB2312" w:hAnsi="仿宋"/>
          <w:color w:val="auto"/>
          <w:szCs w:val="32"/>
        </w:rPr>
        <w:t>人次）。</w:t>
      </w:r>
      <w:r>
        <w:rPr>
          <w:rFonts w:hint="eastAsia" w:ascii="仿宋_GB2312" w:hAnsi="仿宋"/>
          <w:color w:val="auto"/>
          <w:szCs w:val="32"/>
          <w:lang w:eastAsia="zh-CN"/>
        </w:rPr>
        <w:t>主要原因是本单位无公务接待业务发生。</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47B90F4D">
      <w:pPr>
        <w:ind w:firstLine="643" w:firstLineChars="200"/>
        <w:rPr>
          <w:rFonts w:hint="eastAsia" w:ascii="仿宋_GB2312" w:eastAsia="仿宋_GB2312"/>
          <w:color w:val="auto"/>
          <w:sz w:val="32"/>
        </w:rPr>
      </w:pPr>
      <w:r>
        <w:rPr>
          <w:rFonts w:hint="eastAsia" w:ascii="仿宋_GB2312" w:hAnsi="仿宋"/>
          <w:b/>
          <w:bCs/>
          <w:color w:val="auto"/>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，决算数与预算数持平。</w:t>
      </w:r>
      <w:r>
        <w:rPr>
          <w:rFonts w:hint="eastAsia" w:ascii="仿宋_GB2312" w:hAnsi="仿宋"/>
          <w:color w:val="auto"/>
          <w:szCs w:val="32"/>
        </w:rPr>
        <w:t>其中，公务用车购置费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w:t>
      </w:r>
      <w:r>
        <w:rPr>
          <w:rFonts w:hint="eastAsia" w:ascii="仿宋_GB2312" w:hAnsi="仿宋"/>
          <w:color w:val="auto"/>
          <w:szCs w:val="32"/>
          <w:u w:val="none"/>
          <w:lang w:eastAsia="zh-CN"/>
        </w:rPr>
        <w:t>决算数与预算数持平。主要原因是</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lang w:eastAsia="zh-CN"/>
        </w:rPr>
        <w:t>年没有公务用车购置计划。公务用车运行</w:t>
      </w:r>
      <w:r>
        <w:rPr>
          <w:rFonts w:hint="eastAsia" w:ascii="仿宋_GB2312" w:hAnsi="仿宋"/>
          <w:color w:val="auto"/>
          <w:szCs w:val="32"/>
        </w:rPr>
        <w:t>维护费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w:t>
      </w:r>
      <w:r>
        <w:rPr>
          <w:rFonts w:hint="eastAsia" w:ascii="仿宋_GB2312" w:hAnsi="仿宋"/>
          <w:color w:val="auto"/>
          <w:szCs w:val="32"/>
          <w:u w:val="none"/>
          <w:lang w:eastAsia="zh-CN"/>
        </w:rPr>
        <w:t>决算数与预算数持平</w:t>
      </w:r>
      <w:r>
        <w:rPr>
          <w:rFonts w:hint="eastAsia" w:ascii="仿宋_GB2312" w:hAnsi="仿宋"/>
          <w:color w:val="auto"/>
          <w:szCs w:val="32"/>
          <w:u w:val="none"/>
        </w:rPr>
        <w:t>。</w:t>
      </w:r>
      <w:r>
        <w:rPr>
          <w:rFonts w:hint="eastAsia" w:ascii="仿宋_GB2312" w:hAnsi="仿宋"/>
          <w:color w:val="auto"/>
          <w:szCs w:val="32"/>
        </w:rPr>
        <w:t>截至</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年12月31日，</w:t>
      </w:r>
      <w:r>
        <w:rPr>
          <w:rFonts w:hint="eastAsia" w:ascii="仿宋_GB2312" w:hAnsi="仿宋"/>
          <w:color w:val="auto"/>
          <w:szCs w:val="32"/>
          <w:lang w:eastAsia="zh-CN"/>
        </w:rPr>
        <w:t>黄山市人大预算联网监督中心</w:t>
      </w:r>
      <w:r>
        <w:rPr>
          <w:rFonts w:hint="eastAsia" w:ascii="仿宋_GB2312" w:hAnsi="仿宋"/>
          <w:color w:val="auto"/>
          <w:szCs w:val="32"/>
        </w:rPr>
        <w:t>开支财政拨款的公务用车保有量为</w:t>
      </w:r>
      <w:r>
        <w:rPr>
          <w:rFonts w:hint="eastAsia" w:ascii="仿宋_GB2312" w:hAnsi="仿宋"/>
          <w:color w:val="auto"/>
          <w:szCs w:val="32"/>
          <w:lang w:val="en-US" w:eastAsia="zh-CN"/>
        </w:rPr>
        <w:t>0</w:t>
      </w:r>
      <w:r>
        <w:rPr>
          <w:rFonts w:hint="eastAsia" w:ascii="仿宋_GB2312" w:hAnsi="仿宋"/>
          <w:color w:val="auto"/>
          <w:szCs w:val="32"/>
        </w:rPr>
        <w:t>辆。</w:t>
      </w:r>
    </w:p>
    <w:p w14:paraId="721D325E">
      <w:pPr>
        <w:pStyle w:val="2"/>
        <w:ind w:left="1258" w:hanging="1258"/>
        <w:jc w:val="both"/>
        <w:rPr>
          <w:rFonts w:hint="eastAsia" w:ascii="仿宋_GB2312" w:eastAsia="仿宋_GB2312"/>
          <w:color w:val="auto"/>
          <w:sz w:val="32"/>
        </w:rPr>
      </w:pPr>
    </w:p>
    <w:p w14:paraId="65CEC36E">
      <w:pPr>
        <w:pStyle w:val="2"/>
        <w:ind w:left="1258" w:hanging="1258"/>
        <w:jc w:val="both"/>
        <w:rPr>
          <w:rFonts w:hint="eastAsia" w:ascii="仿宋_GB2312" w:eastAsia="仿宋_GB2312"/>
          <w:color w:val="auto"/>
          <w:sz w:val="32"/>
        </w:rPr>
      </w:pPr>
    </w:p>
    <w:p w14:paraId="1336DCEF">
      <w:pPr>
        <w:rPr>
          <w:rFonts w:hint="eastAsia" w:eastAsia="仿宋_GB2312"/>
          <w:lang w:eastAsia="zh-CN"/>
        </w:rPr>
      </w:pPr>
    </w:p>
    <w:p w14:paraId="2ADE592A"/>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CAC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5410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45410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TI5YWFiMTk5Y2YyNWIyYWRkN2UxZjliNmQyYzkifQ=="/>
  </w:docVars>
  <w:rsids>
    <w:rsidRoot w:val="00000000"/>
    <w:rsid w:val="265100AF"/>
    <w:rsid w:val="28287F8B"/>
    <w:rsid w:val="464C7B13"/>
    <w:rsid w:val="662D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1236</Words>
  <Characters>1309</Characters>
  <Lines>0</Lines>
  <Paragraphs>0</Paragraphs>
  <TotalTime>6</TotalTime>
  <ScaleCrop>false</ScaleCrop>
  <LinksUpToDate>false</LinksUpToDate>
  <CharactersWithSpaces>1358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2024-10-09T07:15:00Z</dcterms:created>
  <dc:creator>Administrator</dc:creator>
  <cp:lastModifiedBy>冰雪</cp:lastModifiedBy>
  <dcterms:modified xsi:type="dcterms:W3CDTF">2025-09-22T09:23:25Z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F1DB75CB7365402587A1C68A3F25517D_12</vt:lpwstr>
  </property>
  <property fmtid="{D5CDD505-2E9C-101B-9397-08002B2CF9AE}" pid="4" name="KSOTemplateDocerSaveRecord">
    <vt:lpwstr>eyJoZGlkIjoiODY3MTI5YWFiMTk5Y2YyNWIyYWRkN2UxZjliNmQyYzkiLCJ1c2VySWQiOiIxMTM3NjQ0Nzk1In0=</vt:lpwstr>
  </property>
</Properties>
</file>